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3753-8k_t1energy.htm"/>
      <w:bookmarkStart w:id="1" w:name="ksea03037538k_t1energy"/>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9_edei--DocumentType_c20260828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August 28, 2026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B_edei--EntityRegistrantName_c2026"/>
      <w:bookmarkEnd w:id="4"/>
      <w:r>
        <w:rPr>
          <w:rFonts w:ascii="Times New Roman;Times;Serif" w:hAnsi="Times New Roman;Times;Serif"/>
          <w:b/>
          <w:i w:val="false"/>
          <w:caps w:val="false"/>
          <w:smallCaps w:val="false"/>
          <w:sz w:val="20"/>
        </w:rPr>
        <w:t>T1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9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4_edei--EntityFileNumber_c20260828"/>
            <w:bookmarkEnd w:id="6"/>
            <w:r>
              <w:rPr>
                <w:rFonts w:ascii="Times New Roman;Times;Serif" w:hAnsi="Times New Roman;Times;Serif"/>
                <w:b/>
                <w:sz w:val="20"/>
              </w:rPr>
              <w:t>001-41903</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6_edei--EntityTaxIdentificationNum"/>
            <w:bookmarkEnd w:id="7"/>
            <w:r>
              <w:rPr>
                <w:rFonts w:ascii="Times New Roman;Times;Serif" w:hAnsi="Times New Roman;Times;Serif"/>
                <w:b/>
                <w:sz w:val="20"/>
              </w:rPr>
              <w:t>93-3205861</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1211 E 4th St.</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3_edei--EntityAddressCityOrTown_c2"/>
      <w:bookmarkEnd w:id="9"/>
      <w:r>
        <w:rPr>
          <w:rFonts w:ascii="Times New Roman;Times;Serif" w:hAnsi="Times New Roman;Times;Serif"/>
          <w:b/>
          <w:i w:val="false"/>
          <w:caps w:val="false"/>
          <w:smallCaps w:val="false"/>
          <w:sz w:val="20"/>
        </w:rPr>
        <w:t xml:space="preserve">Austin, </w:t>
      </w:r>
      <w:bookmarkStart w:id="10" w:name="xdx_901_edei--EntityAddressStateOrProvin"/>
      <w:bookmarkEnd w:id="10"/>
      <w:r>
        <w:rPr>
          <w:rFonts w:ascii="Times New Roman;Times;Serif" w:hAnsi="Times New Roman;Times;Serif"/>
          <w:b/>
          <w:i w:val="false"/>
          <w:caps w:val="false"/>
          <w:smallCaps w:val="false"/>
          <w:sz w:val="20"/>
        </w:rPr>
        <w:t xml:space="preserve">Texas </w:t>
      </w:r>
      <w:bookmarkStart w:id="11" w:name="xdx_907_edei--EntityAddressPostalZipCode"/>
      <w:bookmarkEnd w:id="11"/>
      <w:r>
        <w:rPr>
          <w:rFonts w:ascii="Times New Roman;Times;Serif" w:hAnsi="Times New Roman;Times;Serif"/>
          <w:b/>
          <w:i w:val="false"/>
          <w:caps w:val="false"/>
          <w:smallCaps w:val="false"/>
          <w:sz w:val="20"/>
        </w:rPr>
        <w:t>78702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1_edei--CityAreaCode_c20260828__20"/>
      <w:bookmarkEnd w:id="12"/>
      <w:r>
        <w:rPr>
          <w:rFonts w:ascii="Times New Roman;Times;Serif" w:hAnsi="Times New Roman;Times;Serif"/>
          <w:b/>
          <w:i w:val="false"/>
          <w:caps w:val="false"/>
          <w:smallCaps w:val="false"/>
          <w:sz w:val="20"/>
        </w:rPr>
        <w:t>409-</w:t>
      </w:r>
      <w:bookmarkStart w:id="13" w:name="xdx_904_edei--LocalPhoneNumber_c20260828"/>
      <w:bookmarkEnd w:id="13"/>
      <w:r>
        <w:rPr>
          <w:rFonts w:ascii="Times New Roman;Times;Serif" w:hAnsi="Times New Roman;Times;Serif"/>
          <w:b/>
          <w:i w:val="false"/>
          <w:caps w:val="false"/>
          <w:smallCaps w:val="false"/>
          <w:sz w:val="20"/>
        </w:rPr>
        <w:t>599-5706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72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7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F_edei--SolicitingMaterial_c202608"/>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D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6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firstLine="720"/>
        <w:jc w:val="both"/>
        <w:rPr>
          <w:caps w:val="false"/>
          <w:smallCaps w:val="false"/>
        </w:rPr>
      </w:pPr>
      <w:r>
        <w:rPr>
          <w:caps w:val="false"/>
          <w:smallCaps w:val="false"/>
        </w:rPr>
        <w:t> </w:t>
      </w:r>
    </w:p>
    <w:tbl>
      <w:tblPr>
        <w:tblW w:w="8085" w:type="dxa"/>
        <w:jc w:val="left"/>
        <w:tblInd w:w="0" w:type="dxa"/>
        <w:tblLayout w:type="fixed"/>
        <w:tblCellMar>
          <w:top w:w="0" w:type="dxa"/>
          <w:left w:w="0" w:type="dxa"/>
          <w:bottom w:w="0" w:type="dxa"/>
          <w:right w:w="0" w:type="dxa"/>
        </w:tblCellMar>
      </w:tblPr>
      <w:tblGrid>
        <w:gridCol w:w="2645"/>
        <w:gridCol w:w="60"/>
        <w:gridCol w:w="1610"/>
        <w:gridCol w:w="60"/>
        <w:gridCol w:w="3710"/>
      </w:tblGrid>
      <w:tr>
        <w:trPr/>
        <w:tc>
          <w:tcPr>
            <w:tcW w:w="2645" w:type="dxa"/>
            <w:tcBorders/>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vAlign w:val="center"/>
          </w:tcPr>
          <w:p>
            <w:pPr>
              <w:pStyle w:val="TableContents"/>
              <w:bidi w:val="0"/>
              <w:spacing w:before="0" w:after="283"/>
              <w:jc w:val="left"/>
              <w:rPr/>
            </w:pPr>
            <w:r>
              <w:rPr/>
              <w:t> </w:t>
            </w:r>
          </w:p>
        </w:tc>
        <w:tc>
          <w:tcPr>
            <w:tcW w:w="161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vAlign w:val="center"/>
          </w:tcPr>
          <w:p>
            <w:pPr>
              <w:pStyle w:val="TableContents"/>
              <w:bidi w:val="0"/>
              <w:spacing w:before="0" w:after="283"/>
              <w:jc w:val="left"/>
              <w:rPr/>
            </w:pPr>
            <w:r>
              <w:rPr/>
              <w:t> </w:t>
            </w:r>
          </w:p>
        </w:tc>
        <w:tc>
          <w:tcPr>
            <w:tcW w:w="371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645" w:type="dxa"/>
            <w:tcBorders/>
            <w:shd w:fill="CCEEFF" w:val="clear"/>
            <w:vAlign w:val="center"/>
          </w:tcPr>
          <w:p>
            <w:pPr>
              <w:pStyle w:val="TableContents"/>
              <w:bidi w:val="0"/>
              <w:spacing w:before="0" w:after="283"/>
              <w:jc w:val="center"/>
              <w:rPr>
                <w:rFonts w:ascii="Times New Roman;Times;Serif" w:hAnsi="Times New Roman;Times;Serif"/>
                <w:sz w:val="20"/>
              </w:rPr>
            </w:pPr>
            <w:bookmarkStart w:id="18" w:name="xdx_90D_edei--Security12bTitle_c20260828"/>
            <w:bookmarkEnd w:id="18"/>
            <w:r>
              <w:rPr>
                <w:rFonts w:ascii="Times New Roman;Times;Serif" w:hAnsi="Times New Roman;Times;Serif"/>
                <w:sz w:val="20"/>
              </w:rPr>
              <w:t>Common Stock, $0.01 par value</w:t>
            </w:r>
          </w:p>
        </w:tc>
        <w:tc>
          <w:tcPr>
            <w:tcW w:w="6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center"/>
              <w:rPr>
                <w:rFonts w:ascii="Times New Roman;Times;Serif" w:hAnsi="Times New Roman;Times;Serif"/>
                <w:sz w:val="20"/>
              </w:rPr>
            </w:pPr>
            <w:bookmarkStart w:id="19" w:name="xdx_906_edei--TradingSymbol_c20260828__2"/>
            <w:bookmarkEnd w:id="19"/>
            <w:r>
              <w:rPr>
                <w:rFonts w:ascii="Times New Roman;Times;Serif" w:hAnsi="Times New Roman;Times;Serif"/>
                <w:sz w:val="20"/>
              </w:rPr>
              <w:t>TE</w:t>
            </w:r>
          </w:p>
        </w:tc>
        <w:tc>
          <w:tcPr>
            <w:tcW w:w="60" w:type="dxa"/>
            <w:tcBorders/>
            <w:shd w:fill="CCEEFF" w:val="clear"/>
            <w:vAlign w:val="center"/>
          </w:tcPr>
          <w:p>
            <w:pPr>
              <w:pStyle w:val="TableContents"/>
              <w:bidi w:val="0"/>
              <w:spacing w:before="0" w:after="283"/>
              <w:jc w:val="left"/>
              <w:rPr/>
            </w:pPr>
            <w:r>
              <w:rPr/>
              <w:t> </w:t>
            </w:r>
          </w:p>
        </w:tc>
        <w:tc>
          <w:tcPr>
            <w:tcW w:w="3710" w:type="dxa"/>
            <w:tcBorders/>
            <w:shd w:fill="CCEEFF" w:val="clear"/>
            <w:vAlign w:val="center"/>
          </w:tcPr>
          <w:p>
            <w:pPr>
              <w:pStyle w:val="TableContents"/>
              <w:bidi w:val="0"/>
              <w:spacing w:before="0" w:after="283"/>
              <w:jc w:val="center"/>
              <w:rPr>
                <w:rFonts w:ascii="Times New Roman;Times;Serif" w:hAnsi="Times New Roman;Times;Serif"/>
                <w:sz w:val="20"/>
              </w:rPr>
            </w:pPr>
            <w:bookmarkStart w:id="20" w:name="xdx_90B_edei--SecurityExchangeName_c2026"/>
            <w:bookmarkEnd w:id="20"/>
            <w:r>
              <w:rPr>
                <w:rFonts w:ascii="Times New Roman;Times;Serif" w:hAnsi="Times New Roman;Times;Serif"/>
                <w:sz w:val="20"/>
              </w:rPr>
              <w:t>The 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5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2026, T1 Energy Inc. (the “Company”) filed with the Securities and Exchange Commission an automatic shelf registration statement on Form S-3ASR (File No. 333-292857) (the “Registration Statement”). On August 28, 2026, the Company filed a prospectus supplement (the “Resale Prospectus Supplement”) pursuant to the Registration Statement covering the resale of shares of its common stock, par value $0.01 per share (the “common stock”), issuable upon conversion of the Company’s outstanding 4.75% Convertible Senior Notes due 2031 (the “Convertible Notes”), issued under the indenture, dated as of July 31, 2026, between the Company and U.S. Bank Trust Company, National Association, as trustee. The shares of common stock registered for resale pursuant to the Resale Prospectus Supplement consist of 32,258,059 shares of common stock that may be issued to the selling stockholders (the “Selling Stockholders”) upon the conversion of the Convertible Notes, assuming physical settlement will apply to all such conversions and including the maximum number of make-whole shares that may be issued pursuant to the terms of the Convertible Notes as described in the Resale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filing of the Resale Prospectus Supplement is not itself a sale of securities by the Selling Stockholders and does not necessarily mean that the Convertible Notes will be converted into shares of common stock or that the Selling Stockholders will choose to sell any shares of common stock. If any shares of common stock are sold by the Selling Stockholders, the Company would not receive any proceeds from that sale. No securities will be issued or sold by the Company pursuant to the Resale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filing this current report to provide the legal opinion as to the validity of the shares of common stock covered by the Resale Prospectus Supplement, which opinion is attached hereto as Exhibit 5.1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provided as part of this report: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28" w:type="dxa"/>
          <w:right w:w="0" w:type="dxa"/>
        </w:tblCellMar>
      </w:tblPr>
      <w:tblGrid>
        <w:gridCol w:w="995"/>
        <w:gridCol w:w="60"/>
        <w:gridCol w:w="654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4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45" w:type="dxa"/>
            <w:tcBorders/>
            <w:shd w:fill="CCEEFF" w:val="clear"/>
            <w:tcMar>
              <w:bottom w:w="0" w:type="dxa"/>
            </w:tcMar>
            <w:vAlign w:val="center"/>
          </w:tcPr>
          <w:p>
            <w:pPr>
              <w:pStyle w:val="TableContents"/>
              <w:bidi w:val="0"/>
              <w:spacing w:before="0" w:after="283"/>
              <w:jc w:val="left"/>
              <w:rPr/>
            </w:pPr>
            <w:hyperlink w:anchor="ea030375301ex5-1.htm">
              <w:r>
                <w:rPr>
                  <w:rStyle w:val="InternetLink"/>
                  <w:rFonts w:ascii="Times New Roman;Times;Serif" w:hAnsi="Times New Roman;Times;Serif"/>
                  <w:sz w:val="20"/>
                </w:rPr>
                <w:t>Opinion of Skadden, Arps, Slate, Meagher &amp; Flom LLP</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45" w:type="dxa"/>
            <w:tcBorders/>
            <w:shd w:fill="FFFFFF" w:val="clear"/>
            <w:tcMar>
              <w:bottom w:w="0" w:type="dxa"/>
            </w:tcMar>
            <w:vAlign w:val="center"/>
          </w:tcPr>
          <w:p>
            <w:pPr>
              <w:pStyle w:val="TableContents"/>
              <w:bidi w:val="0"/>
              <w:spacing w:before="0" w:after="283"/>
              <w:jc w:val="left"/>
              <w:rPr/>
            </w:pPr>
            <w:hyperlink w:anchor="ea030375301ex5-1.htm">
              <w:r>
                <w:rPr>
                  <w:rStyle w:val="InternetLink"/>
                  <w:rFonts w:ascii="Times New Roman;Times;Serif" w:hAnsi="Times New Roman;Times;Serif"/>
                  <w:sz w:val="20"/>
                </w:rPr>
                <w:t>Consent of Skadden, Arps, Slate, Meagher &amp; Flom LLP (included in Exhibit 5.1)</w:t>
              </w:r>
            </w:hyperlink>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2970" w:type="dxa"/>
        <w:jc w:val="left"/>
        <w:tblInd w:w="0" w:type="dxa"/>
        <w:tblLayout w:type="fixed"/>
        <w:tblCellMar>
          <w:top w:w="0" w:type="dxa"/>
          <w:left w:w="0" w:type="dxa"/>
          <w:bottom w:w="0" w:type="dxa"/>
          <w:right w:w="0" w:type="dxa"/>
        </w:tblCellMar>
      </w:tblPr>
      <w:tblGrid>
        <w:gridCol w:w="75"/>
        <w:gridCol w:w="365"/>
        <w:gridCol w:w="635"/>
        <w:gridCol w:w="1895"/>
      </w:tblGrid>
      <w:tr>
        <w:trPr/>
        <w:tc>
          <w:tcPr>
            <w:tcW w:w="75" w:type="dxa"/>
            <w:tcBorders/>
            <w:vAlign w:val="center"/>
          </w:tcPr>
          <w:p>
            <w:pPr>
              <w:pStyle w:val="TableContents"/>
              <w:bidi w:val="0"/>
              <w:spacing w:before="0" w:after="283"/>
              <w:jc w:val="left"/>
              <w:rPr/>
            </w:pPr>
            <w:r>
              <w:rPr/>
              <w:t> </w:t>
            </w:r>
          </w:p>
        </w:tc>
        <w:tc>
          <w:tcPr>
            <w:tcW w:w="289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T1 Energy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53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Joseph Evan Calio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Evan Calio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August 28,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30375301ex5-1.htm"/>
      <w:bookmarkStart w:id="23" w:name="ksea030375301ex51"/>
      <w:bookmarkEnd w:id="22"/>
      <w:bookmarkEnd w:id="23"/>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center"/>
        <w:rPr>
          <w:caps w:val="false"/>
          <w:smallCaps w:val="false"/>
        </w:rPr>
      </w:pPr>
      <w:r>
        <w:rPr>
          <w:caps w:val="false"/>
          <w:smallCaps w:val="false"/>
        </w:rPr>
        <w:t> </w:t>
      </w:r>
    </w:p>
    <w:tbl>
      <w:tblPr>
        <w:tblW w:w="9015" w:type="dxa"/>
        <w:jc w:val="left"/>
        <w:tblInd w:w="0" w:type="dxa"/>
        <w:tblLayout w:type="fixed"/>
        <w:tblCellMar>
          <w:top w:w="0" w:type="dxa"/>
          <w:left w:w="0" w:type="dxa"/>
          <w:bottom w:w="0" w:type="dxa"/>
          <w:right w:w="0" w:type="dxa"/>
        </w:tblCellMar>
      </w:tblPr>
      <w:tblGrid>
        <w:gridCol w:w="2240"/>
        <w:gridCol w:w="4730"/>
        <w:gridCol w:w="2045"/>
      </w:tblGrid>
      <w:tr>
        <w:trPr/>
        <w:tc>
          <w:tcPr>
            <w:tcW w:w="2240"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smallCaps/>
                <w:sz w:val="24"/>
              </w:rPr>
            </w:pPr>
            <w:r>
              <w:rPr>
                <w:smallCaps/>
                <w:sz w:val="24"/>
              </w:rPr>
              <w:t>Skadden, Arps, Slate, Meagher &amp; Flom llp</w:t>
            </w:r>
          </w:p>
        </w:tc>
        <w:tc>
          <w:tcPr>
            <w:tcW w:w="2045" w:type="dxa"/>
            <w:tcBorders/>
            <w:vAlign w:val="center"/>
          </w:tcPr>
          <w:p>
            <w:pPr>
              <w:pStyle w:val="TableContents"/>
              <w:bidi w:val="0"/>
              <w:spacing w:before="0" w:after="283"/>
              <w:jc w:val="center"/>
              <w:rPr/>
            </w:pPr>
            <w:r>
              <w:rPr/>
              <w:t> </w:t>
            </w:r>
          </w:p>
        </w:tc>
      </w:tr>
      <w:tr>
        <w:trPr/>
        <w:tc>
          <w:tcPr>
            <w:tcW w:w="2240"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caps/>
                <w:sz w:val="20"/>
              </w:rPr>
            </w:pPr>
            <w:r>
              <w:rPr>
                <w:caps/>
                <w:sz w:val="20"/>
              </w:rPr>
              <w:t>845 TEXAS AVENUE, SUITE 2300</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FIRM/AFFILIATE OFFICES</w:t>
            </w:r>
          </w:p>
        </w:tc>
      </w:tr>
      <w:tr>
        <w:trPr/>
        <w:tc>
          <w:tcPr>
            <w:tcW w:w="2240"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caps/>
                <w:sz w:val="20"/>
              </w:rPr>
            </w:pPr>
            <w:r>
              <w:rPr>
                <w:caps/>
                <w:sz w:val="20"/>
              </w:rPr>
              <w:t>HOUSTON, TEXAS 77002</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r>
      <w:tr>
        <w:trPr/>
        <w:tc>
          <w:tcPr>
            <w:tcW w:w="2240"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caps/>
                <w:sz w:val="20"/>
              </w:rPr>
            </w:pPr>
            <w:r>
              <w:rPr>
                <w:caps/>
                <w:sz w:val="20"/>
              </w:rPr>
              <w:t>________</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BOSTON</w:t>
            </w:r>
          </w:p>
        </w:tc>
      </w:tr>
      <w:tr>
        <w:trPr/>
        <w:tc>
          <w:tcPr>
            <w:tcW w:w="2240"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CHICAGO</w:t>
            </w:r>
          </w:p>
        </w:tc>
      </w:tr>
      <w:tr>
        <w:trPr/>
        <w:tc>
          <w:tcPr>
            <w:tcW w:w="2240"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sz w:val="20"/>
              </w:rPr>
            </w:pPr>
            <w:r>
              <w:rPr>
                <w:sz w:val="20"/>
              </w:rPr>
              <w:t>TEL: (713) 655-5100</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LOS ANGELES</w:t>
            </w:r>
          </w:p>
        </w:tc>
      </w:tr>
      <w:tr>
        <w:trPr/>
        <w:tc>
          <w:tcPr>
            <w:tcW w:w="2240"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sz w:val="20"/>
              </w:rPr>
            </w:pPr>
            <w:r>
              <w:rPr>
                <w:sz w:val="20"/>
              </w:rPr>
              <w:t>FAX: (713) 655-5200</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NEW YORK</w:t>
            </w:r>
          </w:p>
        </w:tc>
      </w:tr>
      <w:tr>
        <w:trPr/>
        <w:tc>
          <w:tcPr>
            <w:tcW w:w="2240"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www.skadden.com</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PALO ALTO</w:t>
            </w:r>
          </w:p>
        </w:tc>
      </w:tr>
      <w:tr>
        <w:trPr/>
        <w:tc>
          <w:tcPr>
            <w:tcW w:w="2240"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WASHINGTON, D.C.</w:t>
            </w:r>
          </w:p>
        </w:tc>
      </w:tr>
      <w:tr>
        <w:trPr/>
        <w:tc>
          <w:tcPr>
            <w:tcW w:w="2240" w:type="dxa"/>
            <w:tcBorders/>
            <w:vAlign w:val="center"/>
          </w:tcPr>
          <w:p>
            <w:pPr>
              <w:pStyle w:val="TableContents"/>
              <w:bidi w:val="0"/>
              <w:spacing w:before="0" w:after="283"/>
              <w:jc w:val="center"/>
              <w:rPr>
                <w:sz w:val="16"/>
              </w:rPr>
            </w:pPr>
            <w:r>
              <w:rPr>
                <w:sz w:val="16"/>
              </w:rPr>
              <w:t>DIRECT DIAL</w:t>
            </w:r>
          </w:p>
        </w:tc>
        <w:tc>
          <w:tcPr>
            <w:tcW w:w="473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WILMINGTON</w:t>
            </w:r>
          </w:p>
        </w:tc>
      </w:tr>
      <w:tr>
        <w:trPr/>
        <w:tc>
          <w:tcPr>
            <w:tcW w:w="2240" w:type="dxa"/>
            <w:tcBorders/>
            <w:vAlign w:val="center"/>
          </w:tcPr>
          <w:p>
            <w:pPr>
              <w:pStyle w:val="TableContents"/>
              <w:bidi w:val="0"/>
              <w:spacing w:before="0" w:after="283"/>
              <w:jc w:val="center"/>
              <w:rPr>
                <w:sz w:val="16"/>
              </w:rPr>
            </w:pPr>
            <w:r>
              <w:rPr>
                <w:sz w:val="16"/>
              </w:rPr>
              <w:t>(212) 735-3352</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r>
      <w:tr>
        <w:trPr/>
        <w:tc>
          <w:tcPr>
            <w:tcW w:w="2240" w:type="dxa"/>
            <w:tcBorders/>
            <w:vAlign w:val="center"/>
          </w:tcPr>
          <w:p>
            <w:pPr>
              <w:pStyle w:val="TableContents"/>
              <w:bidi w:val="0"/>
              <w:spacing w:before="0" w:after="283"/>
              <w:jc w:val="center"/>
              <w:rPr>
                <w:sz w:val="16"/>
                <w:u w:val="single"/>
              </w:rPr>
            </w:pPr>
            <w:r>
              <w:rPr>
                <w:sz w:val="16"/>
                <w:u w:val="single"/>
              </w:rPr>
              <w:t>DIRECT FAX</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ABU DHABI</w:t>
            </w:r>
          </w:p>
        </w:tc>
      </w:tr>
      <w:tr>
        <w:trPr/>
        <w:tc>
          <w:tcPr>
            <w:tcW w:w="2240" w:type="dxa"/>
            <w:tcBorders/>
            <w:vAlign w:val="center"/>
          </w:tcPr>
          <w:p>
            <w:pPr>
              <w:pStyle w:val="TableContents"/>
              <w:bidi w:val="0"/>
              <w:spacing w:before="0" w:after="283"/>
              <w:jc w:val="center"/>
              <w:rPr>
                <w:sz w:val="16"/>
              </w:rPr>
            </w:pPr>
            <w:r>
              <w:rPr>
                <w:sz w:val="16"/>
              </w:rPr>
              <w:t>(212) 735-2000</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BEIJING</w:t>
            </w:r>
          </w:p>
        </w:tc>
      </w:tr>
      <w:tr>
        <w:trPr/>
        <w:tc>
          <w:tcPr>
            <w:tcW w:w="2240" w:type="dxa"/>
            <w:tcBorders/>
            <w:vAlign w:val="center"/>
          </w:tcPr>
          <w:p>
            <w:pPr>
              <w:pStyle w:val="TableContents"/>
              <w:bidi w:val="0"/>
              <w:spacing w:before="0" w:after="283"/>
              <w:jc w:val="center"/>
              <w:rPr>
                <w:sz w:val="16"/>
              </w:rPr>
            </w:pPr>
            <w:r>
              <w:rPr>
                <w:sz w:val="16"/>
              </w:rPr>
              <w:t>EMAIL ADDRESS</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BRUSSELS</w:t>
            </w:r>
          </w:p>
        </w:tc>
      </w:tr>
      <w:tr>
        <w:trPr/>
        <w:tc>
          <w:tcPr>
            <w:tcW w:w="2240" w:type="dxa"/>
            <w:tcBorders/>
            <w:vAlign w:val="center"/>
          </w:tcPr>
          <w:p>
            <w:pPr>
              <w:pStyle w:val="TableContents"/>
              <w:bidi w:val="0"/>
              <w:spacing w:before="0" w:after="283"/>
              <w:jc w:val="center"/>
              <w:rPr>
                <w:sz w:val="16"/>
              </w:rPr>
            </w:pPr>
            <w:r>
              <w:rPr>
                <w:sz w:val="16"/>
              </w:rPr>
              <w:t>TRANSFER@SKADDEN.COM</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FRANKFURT</w:t>
            </w:r>
          </w:p>
        </w:tc>
      </w:tr>
      <w:tr>
        <w:trPr/>
        <w:tc>
          <w:tcPr>
            <w:tcW w:w="2240"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HONG KONG</w:t>
            </w:r>
          </w:p>
        </w:tc>
      </w:tr>
      <w:tr>
        <w:trPr/>
        <w:tc>
          <w:tcPr>
            <w:tcW w:w="2240"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pPr>
            <w:r>
              <w:rPr/>
              <w:t>August 28, 2026</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LONDON</w:t>
            </w:r>
          </w:p>
        </w:tc>
      </w:tr>
      <w:tr>
        <w:trPr/>
        <w:tc>
          <w:tcPr>
            <w:tcW w:w="2240"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MUNICH</w:t>
            </w:r>
          </w:p>
        </w:tc>
      </w:tr>
      <w:tr>
        <w:trPr/>
        <w:tc>
          <w:tcPr>
            <w:tcW w:w="2240"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PARIS</w:t>
            </w:r>
          </w:p>
        </w:tc>
      </w:tr>
      <w:tr>
        <w:trPr/>
        <w:tc>
          <w:tcPr>
            <w:tcW w:w="2240"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SÃO PAULO</w:t>
            </w:r>
          </w:p>
        </w:tc>
      </w:tr>
      <w:tr>
        <w:trPr/>
        <w:tc>
          <w:tcPr>
            <w:tcW w:w="2240" w:type="dxa"/>
            <w:tcBorders/>
            <w:vAlign w:val="center"/>
          </w:tcPr>
          <w:p>
            <w:pPr>
              <w:pStyle w:val="TableContents"/>
              <w:bidi w:val="0"/>
              <w:spacing w:before="0" w:after="283"/>
              <w:jc w:val="center"/>
              <w:rPr/>
            </w:pPr>
            <w:r>
              <w:rPr/>
              <w:t> </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SEOUL</w:t>
            </w:r>
          </w:p>
        </w:tc>
      </w:tr>
      <w:tr>
        <w:trPr/>
        <w:tc>
          <w:tcPr>
            <w:tcW w:w="2240" w:type="dxa"/>
            <w:tcBorders/>
            <w:vAlign w:val="center"/>
          </w:tcPr>
          <w:p>
            <w:pPr>
              <w:pStyle w:val="TableContents"/>
              <w:bidi w:val="0"/>
              <w:spacing w:before="0" w:after="283"/>
              <w:jc w:val="left"/>
              <w:rPr>
                <w:sz w:val="16"/>
              </w:rPr>
            </w:pPr>
            <w:r>
              <w:rPr>
                <w:sz w:val="16"/>
              </w:rPr>
              <w:t>T1 Energy Inc.</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SINGAPORE</w:t>
            </w:r>
          </w:p>
        </w:tc>
      </w:tr>
      <w:tr>
        <w:trPr/>
        <w:tc>
          <w:tcPr>
            <w:tcW w:w="2240" w:type="dxa"/>
            <w:tcBorders/>
            <w:vAlign w:val="center"/>
          </w:tcPr>
          <w:p>
            <w:pPr>
              <w:pStyle w:val="TableContents"/>
              <w:bidi w:val="0"/>
              <w:spacing w:before="0" w:after="283"/>
              <w:jc w:val="left"/>
              <w:rPr>
                <w:sz w:val="16"/>
              </w:rPr>
            </w:pPr>
            <w:r>
              <w:rPr>
                <w:sz w:val="16"/>
              </w:rPr>
              <w:t>1211 E 4th St.</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TOKYO</w:t>
            </w:r>
          </w:p>
        </w:tc>
      </w:tr>
      <w:tr>
        <w:trPr/>
        <w:tc>
          <w:tcPr>
            <w:tcW w:w="2240" w:type="dxa"/>
            <w:tcBorders/>
            <w:vAlign w:val="center"/>
          </w:tcPr>
          <w:p>
            <w:pPr>
              <w:pStyle w:val="TableContents"/>
              <w:bidi w:val="0"/>
              <w:spacing w:before="0" w:after="283"/>
              <w:jc w:val="left"/>
              <w:rPr>
                <w:sz w:val="16"/>
              </w:rPr>
            </w:pPr>
            <w:r>
              <w:rPr>
                <w:sz w:val="16"/>
              </w:rPr>
              <w:t>Austin, Texas 78702</w:t>
            </w:r>
          </w:p>
        </w:tc>
        <w:tc>
          <w:tcPr>
            <w:tcW w:w="473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TORONTO</w:t>
            </w:r>
          </w:p>
        </w:tc>
      </w:tr>
    </w:tbl>
    <w:p>
      <w:pPr>
        <w:pStyle w:val="TextBody"/>
        <w:bidi w:val="0"/>
        <w:spacing w:before="0" w:after="0"/>
        <w:ind w:left="0" w:right="0" w:hanging="0"/>
        <w:jc w:val="center"/>
        <w:rPr>
          <w:smallCaps/>
        </w:rPr>
      </w:pPr>
      <w:r>
        <w:rPr>
          <w:smallCaps/>
        </w:rPr>
        <w:t> </w:t>
      </w:r>
    </w:p>
    <w:tbl>
      <w:tblPr>
        <w:tblW w:w="3910" w:type="dxa"/>
        <w:jc w:val="left"/>
        <w:tblInd w:w="0" w:type="dxa"/>
        <w:tblLayout w:type="fixed"/>
        <w:tblCellMar>
          <w:top w:w="0" w:type="dxa"/>
          <w:left w:w="0" w:type="dxa"/>
          <w:bottom w:w="0" w:type="dxa"/>
          <w:right w:w="0" w:type="dxa"/>
        </w:tblCellMar>
      </w:tblPr>
      <w:tblGrid>
        <w:gridCol w:w="75"/>
        <w:gridCol w:w="350"/>
        <w:gridCol w:w="341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Re:</w:t>
            </w:r>
          </w:p>
        </w:tc>
        <w:tc>
          <w:tcPr>
            <w:tcW w:w="3410" w:type="dxa"/>
            <w:tcBorders/>
            <w:vAlign w:val="center"/>
          </w:tcPr>
          <w:p>
            <w:pPr>
              <w:pStyle w:val="TableContents"/>
              <w:bidi w:val="0"/>
              <w:spacing w:before="0" w:after="283"/>
              <w:jc w:val="both"/>
              <w:rPr/>
            </w:pPr>
            <w:r>
              <w:rPr/>
              <w:t>T1 Energy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both"/>
              <w:rPr>
                <w:u w:val="single"/>
              </w:rPr>
            </w:pPr>
            <w:r>
              <w:rPr>
                <w:u w:val="single"/>
              </w:rPr>
              <w:t>Registration Statement on Form S-3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United States counsel to T1 Energy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resale by the selling stockholders identified on Schedule A hereto (the “</w:t>
      </w:r>
      <w:r>
        <w:rPr>
          <w:rFonts w:ascii="Times New Roman;Times;Serif" w:hAnsi="Times New Roman;Times;Serif"/>
          <w:b w:val="false"/>
          <w:i w:val="false"/>
          <w:caps w:val="false"/>
          <w:smallCaps w:val="false"/>
          <w:sz w:val="20"/>
          <w:u w:val="single"/>
        </w:rPr>
        <w:t>Selling Stockholders</w:t>
      </w:r>
      <w:r>
        <w:rPr>
          <w:rFonts w:ascii="Times New Roman;Times;Serif" w:hAnsi="Times New Roman;Times;Serif"/>
          <w:b w:val="false"/>
          <w:i w:val="false"/>
          <w:caps w:val="false"/>
          <w:smallCaps w:val="false"/>
          <w:sz w:val="20"/>
        </w:rPr>
        <w:t>”) of up to 32,258,059 shares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of the Company’s common stock, par value $0.01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issuable upon conversion of the Company’s outstanding 4.75% Convertible Senior Notes due 2031 (the “</w:t>
      </w:r>
      <w:r>
        <w:rPr>
          <w:rFonts w:ascii="Times New Roman;Times;Serif" w:hAnsi="Times New Roman;Times;Serif"/>
          <w:b w:val="false"/>
          <w:i w:val="false"/>
          <w:caps w:val="false"/>
          <w:smallCaps w:val="false"/>
          <w:sz w:val="20"/>
          <w:u w:val="single"/>
        </w:rPr>
        <w:t>Convertible Notes</w:t>
      </w:r>
      <w:r>
        <w:rPr>
          <w:rFonts w:ascii="Times New Roman;Times;Serif" w:hAnsi="Times New Roman;Times;Serif"/>
          <w:b w:val="false"/>
          <w:i w:val="false"/>
          <w:caps w:val="false"/>
          <w:smallCaps w:val="false"/>
          <w:sz w:val="20"/>
        </w:rPr>
        <w:t>”), issued under the Indenture, dated as of July 31, 2026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between the Company and U.S. Bank Trust Company, National Association, as trustee (in such capacity,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to the Selling Stockholders pursuant to the Note Purchase Agreements, each dated as of July 29, 2026, between the Company and the respective Selling Stockholder named therein (the “</w:t>
      </w:r>
      <w:r>
        <w:rPr>
          <w:rFonts w:ascii="Times New Roman;Times;Serif" w:hAnsi="Times New Roman;Times;Serif"/>
          <w:b w:val="false"/>
          <w:i w:val="false"/>
          <w:caps w:val="false"/>
          <w:smallCaps w:val="false"/>
          <w:sz w:val="20"/>
          <w:u w:val="single"/>
        </w:rPr>
        <w:t>Note Purchase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being furnished in accordance with the requirements of Item 601(b)(5) of Regulation S-K under the Securities Act of 1933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stated herein, we have examined and relied upon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registration statement on Form S-3ASR (File No. 333-292857) of the Company relating to the Securities and other securities of the Company filed on January 21, 2026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Securities Act allowing for delayed offerings pursuant to Rule 415 of the General Rules and Regulations under the Securities Act (the “</w:t>
      </w:r>
      <w:r>
        <w:rPr>
          <w:rFonts w:ascii="Times New Roman;Times;Serif" w:hAnsi="Times New Roman;Times;Serif"/>
          <w:b w:val="false"/>
          <w:i w:val="false"/>
          <w:caps w:val="false"/>
          <w:smallCaps w:val="false"/>
          <w:sz w:val="20"/>
          <w:u w:val="single"/>
        </w:rPr>
        <w:t>Rules and Regulations</w:t>
      </w:r>
      <w:r>
        <w:rPr>
          <w:rFonts w:ascii="Times New Roman;Times;Serif" w:hAnsi="Times New Roman;Times;Serif"/>
          <w:b w:val="false"/>
          <w:i w:val="false"/>
          <w:caps w:val="false"/>
          <w:smallCaps w:val="false"/>
          <w:sz w:val="20"/>
        </w:rPr>
        <w:t>”), including the information deemed to be a part of the registration statement pursuant to Rule 430B of the Rules and Regulations (such registration statement being hereinafter referred to as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prospectus, dated January 21, 2026 (the “</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which forms a part of and is included in the Registration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prospectus supplement, dated August 28, 2026 (together with the Base Prospectus,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relating to the resale of the Securities, in the form filed with the Commission pursuant to Rule 424(b) of the Rules and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executed copies of each of the Note Purchase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 executed copy of the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 executed copy of the Transaction Agreement, dated as of November 6, 2024, among T1 Energy Inc. (f/k/a FREYR Battery, Inc.) and Trina Solar (Schweiz) AG (the “</w:t>
      </w:r>
      <w:r>
        <w:rPr>
          <w:rFonts w:ascii="Times New Roman;Times;Serif" w:hAnsi="Times New Roman;Times;Serif"/>
          <w:b w:val="false"/>
          <w:i w:val="false"/>
          <w:caps w:val="false"/>
          <w:smallCaps w:val="false"/>
          <w:sz w:val="20"/>
          <w:u w:val="single"/>
        </w:rPr>
        <w:t>Trina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 executed copy of the Amended and Restated Cooperation Agreement, dated as of December 29, 2025, by and between T1 Energy Inc. and Trina Solar (Schweiz) AG (the “</w:t>
      </w:r>
      <w:r>
        <w:rPr>
          <w:rFonts w:ascii="Times New Roman;Times;Serif" w:hAnsi="Times New Roman;Times;Serif"/>
          <w:b w:val="false"/>
          <w:i w:val="false"/>
          <w:caps w:val="false"/>
          <w:smallCaps w:val="false"/>
          <w:sz w:val="20"/>
          <w:u w:val="single"/>
        </w:rPr>
        <w:t>Cooperation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 executed copy of a certificate of Harold Callo, Secretary of the Company, dated the date hereof (the “</w:t>
      </w: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copies of (i) the Company’s Amended and Restated Certificate of Incorporation of the Company, certified pursuant to the Secretary’s Certificate as being in effect on December 28, 2025, and (ii) the Amended and Restated Certificate of Incorporation of the Company, as amended, (the “</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 certified by the Secretary of State of the State of Delaware as of August 28, 2026 and certified pursuant to the Secretary’s Certificate as being in effect on July 26, 2026, July 28, 2026 and July 29, 2026 and as of the date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 copy of the Company’s Third Amended and Restated Bylaws, certified pursuant to the Secretary’s Certificate as being in effect on the date of the resolutions referred to below and as of the date hereof;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copies of certain resolutions of the Board of Directors of the Company, adopted on December 28, 2025, July 26, 2026 and July 28, 2026 and certain resolutions of the Financing Transaction Committee of the Board of Directors of the Company, adopted on July 29, 2026, in each case certified pursuant to the Secretary’s Certificate.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examined originals or copies, certified or otherwise identified to our satisfaction, of such records of the Company and the Selling Stockholders and such agreements, certificates and receipts of public officials, certificates of officers or other representatives of the Company and the Selling Stockholders and others, and such other documents as we have deemed necessary or appropriate as a basis for the opinion stated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 stated herein that we did not independently establish or verify, we have relied upon statements and representations of officers and other representatives of the Company and the Selling Stockholders and others and of public officials, including the facts and conclusions set forth in the Secretary’s Certificate and the Certificate of Incorporation and the factual representations and warranties contained in the Note Purchase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express any opinion with respect to the laws of any jurisdiction other than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(a)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the Note Purchase Agreements and the Indenture and (b) “</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means those documents listed in paragraphs (i) and (j)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and assumptions stated herein, we are of the opinion that the Securities have been duly authorized by all requisite corporate action on the part of the Company under the DGCL and, when issued upon conversion of the Convertible Notes in accordance with the terms of the Indenture, will be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rendering the foregoing opinion we have assumed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Company’s issuance of the Securities does not and will not (i) violate any statute to which the Company or such issuance is subject (except that we do not make this assumption with respect to the DGCL), or (ii) constitute a violation of, or a breach under, or require the consent or approval of any other person under, any agreement or instrument binding on the Company (except that we do not make this assumption with respect to the Organizational Documents, the Transaction Documents or those agreements or instruments expressed to be governed by the laws of the State of New York which are listed in Part II of the Registration Statement or included as exhibits to the Company’s Annual Report on Form 10-K for the year ended December 31, 2025, although we have assumed compliance with any covenant, restriction or provision with respect to financial ratios or tests or any aspect of the financial condition or results of operations of the Company contained in such agreements or instruments), and we have further assumed that the Company will continue to have sufficient authorized shares of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Company’s authorized capital stock is as set forth in the Certificate of Incorporation, and we have relied solely on the certified copy thereof issued by the Secretary of State of the State of Delaware and have not made any other inquiries or investigations;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we call to your attention that the Trina Agreement and Cooperation Agreement are expressed to be governed by laws other than those with respect to which we express our opinion (“</w:t>
      </w:r>
      <w:r>
        <w:rPr>
          <w:rFonts w:ascii="Times New Roman;Times;Serif" w:hAnsi="Times New Roman;Times;Serif"/>
          <w:b w:val="false"/>
          <w:i w:val="false"/>
          <w:caps w:val="false"/>
          <w:smallCaps w:val="false"/>
          <w:sz w:val="20"/>
          <w:u w:val="single"/>
        </w:rPr>
        <w:t>Non-Opined on Laws</w:t>
      </w:r>
      <w:r>
        <w:rPr>
          <w:rFonts w:ascii="Times New Roman;Times;Serif" w:hAnsi="Times New Roman;Times;Serif"/>
          <w:b w:val="false"/>
          <w:i w:val="false"/>
          <w:caps w:val="false"/>
          <w:smallCaps w:val="false"/>
          <w:sz w:val="20"/>
        </w:rPr>
        <w:t>”) and the opinion expressed herein is based solely upon our understanding of the language contained in such Trina Agreement and Cooperation Agreement under the laws of the State of New York and we have not considered any substantive provisions of such Non-Opined on Laws that may be incorporated by reference therein or supplied by such laws. We do not assume any responsibility for any interpretation thereof inconsistent with such understanding and we have not consulted attorneys admitted in any other jurisdiction (including any jurisdiction where we or our affiliated firms have offices);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rendering the opinion set forth above, we have assumed that the Conversion Price (as defined in the Indenture) will be at least equal to the par value of the Securities at the time of conversion.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shall be interpreted in accordance with customary practice of United States lawyers who regularly give opinions in transactions of this type.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reference to our firm under the heading “Legal Matters” in the Prospectus. We also hereby consent to the filing of this opinion letter with the Commission as an exhibit to the Company’s Current Report on Form 8-K being filed on the date hereof and incorporated by reference into the Registration Statement. In giving this consent, we do not thereby admit that we are within the category of persons whose consent is required under Section 7 of the Securities Act or the Rules and Regulations. This opinion letter is expressed as of the date hereof unless otherwise expressly stated, and we disclaim any undertaking to advise you of any subsequent changes in the facts stated or assumed herein or of any subsequent changes in applicable laws.</w:t>
      </w:r>
    </w:p>
    <w:p>
      <w:pPr>
        <w:pStyle w:val="TextBody"/>
        <w:bidi w:val="0"/>
        <w:spacing w:before="0" w:after="0"/>
        <w:ind w:left="0" w:right="0" w:firstLine="1440"/>
        <w:jc w:val="both"/>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560"/>
        <w:gridCol w:w="4550"/>
      </w:tblGrid>
      <w:tr>
        <w:trPr/>
        <w:tc>
          <w:tcPr>
            <w:tcW w:w="56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Very truly yours,</w:t>
            </w:r>
          </w:p>
        </w:tc>
      </w:tr>
      <w:tr>
        <w:trPr/>
        <w:tc>
          <w:tcPr>
            <w:tcW w:w="56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/s/ Skadden, Arps, Slate, Meagher &amp; Flom LLP</w:t>
            </w:r>
          </w:p>
        </w:tc>
      </w:tr>
      <w:tr>
        <w:trPr/>
        <w:tc>
          <w:tcPr>
            <w:tcW w:w="560" w:type="dxa"/>
            <w:tcBorders/>
            <w:vAlign w:val="center"/>
          </w:tcPr>
          <w:p>
            <w:pPr>
              <w:pStyle w:val="TableContents"/>
              <w:bidi w:val="0"/>
              <w:spacing w:before="0" w:after="283"/>
              <w:jc w:val="left"/>
              <w:rPr/>
            </w:pPr>
            <w:r>
              <w:rPr/>
              <w:t>MSH</w:t>
            </w:r>
          </w:p>
        </w:tc>
        <w:tc>
          <w:tcPr>
            <w:tcW w:w="4550"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Adage Capital Partners,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Citadel Multi-Asset Master Fund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Context Partners Master Fund,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 Shaw Valence Portfolios,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 Shaw Cogence Portfolios,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Franklin K2 Alternative Strategies Fund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Franklin Templeton Investment Funds – Franklin K2 Alternative Strategies Fund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JNL Multi-Manager Alternative Fund, a sub fund of JNL Series Trust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Lazard Converts Absolute Return,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Lazard Converts Absolute Return, LP (LCAR)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Lazard Enhanced Opportunities Portfolio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Lazard Rathmore Absolute Return Fund,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Lazard Rathmore Alternative Fund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Lazard Rathmore Converts,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Lazard Rathmore Plus Master Fund,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Linden Advisors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PACE Select Advisors Trust - PACE Alternative Strategies Investments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Sigma Horizon Portfolio,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2440</Words>
  <Characters>13053</Characters>
  <CharactersWithSpaces>15480</CharactersWithSpaces>
  <Paragraphs>315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