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948-8k_t1energy.htm"/>
      <w:bookmarkStart w:id="1" w:name="ksea03069488k_t1energ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4_edei--DocumentType_c20260928__20"/>
      <w:bookmarkEnd w:id="2"/>
      <w:r>
        <w:rPr>
          <w:rFonts w:ascii="Times New Roman;Times;Serif" w:hAnsi="Times New Roman;Times;Serif"/>
          <w:b/>
          <w:i w:val="false"/>
          <w:caps w:val="false"/>
          <w:smallCaps w:val="false"/>
          <w:sz w:val="24"/>
        </w:rPr>
        <w:t>8-K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r>
        <w:rPr>
          <w:rFonts w:ascii="Times New Roman;Times;Serif" w:hAnsi="Times New Roman;Times;Serif"/>
          <w:b/>
          <w:i w:val="false"/>
          <w:caps w:val="false"/>
          <w:smallCaps w:val="false"/>
          <w:sz w:val="20"/>
        </w:rPr>
        <w:t> </w:t>
      </w:r>
      <w:bookmarkStart w:id="3" w:name="xdx_907_edei--DocumentPeriodEndDate_c202"/>
      <w:bookmarkEnd w:id="3"/>
      <w:r>
        <w:rPr>
          <w:rFonts w:ascii="Times New Roman;Times;Serif" w:hAnsi="Times New Roman;Times;Serif"/>
          <w:b w:val="false"/>
          <w:i w:val="false"/>
          <w:caps w:val="false"/>
          <w:smallCaps w:val="false"/>
          <w:sz w:val="20"/>
        </w:rPr>
        <w:t>September 28,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T1 Energy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4_edei--EntityFileNumber_c20260928"/>
            <w:bookmarkEnd w:id="6"/>
            <w:r>
              <w:rPr>
                <w:b/>
                <w:sz w:val="20"/>
              </w:rPr>
              <w:t>001-41903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9_edei--EntityTaxIdentificationNum"/>
            <w:bookmarkEnd w:id="7"/>
            <w:r>
              <w:rPr>
                <w:b/>
                <w:sz w:val="20"/>
              </w:rPr>
              <w:t>93-3205861</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tbl>
      <w:tblPr>
        <w:tblW w:w="4595" w:type="dxa"/>
        <w:jc w:val="left"/>
        <w:tblInd w:w="0" w:type="dxa"/>
        <w:tblLayout w:type="fixed"/>
        <w:tblCellMar>
          <w:top w:w="0" w:type="dxa"/>
          <w:left w:w="0" w:type="dxa"/>
          <w:bottom w:w="0" w:type="dxa"/>
          <w:right w:w="0" w:type="dxa"/>
        </w:tblCellMar>
      </w:tblPr>
      <w:tblGrid>
        <w:gridCol w:w="75"/>
        <w:gridCol w:w="60"/>
        <w:gridCol w:w="4325"/>
        <w:gridCol w:w="60"/>
        <w:gridCol w:w="75"/>
      </w:tblGrid>
      <w:tr>
        <w:trPr/>
        <w:tc>
          <w:tcPr>
            <w:tcW w:w="4595" w:type="dxa"/>
            <w:gridSpan w:val="5"/>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1211 E 4th St.</w:t>
              <w:br/>
            </w:r>
            <w:bookmarkStart w:id="9" w:name="xdx_903_edei--EntityAddressCityOrTown_c2"/>
            <w:bookmarkEnd w:id="9"/>
            <w:r>
              <w:rPr>
                <w:rFonts w:ascii="Times New Roman;Times;Serif" w:hAnsi="Times New Roman;Times;Serif"/>
                <w:b/>
                <w:i w:val="false"/>
                <w:caps w:val="false"/>
                <w:smallCaps w:val="false"/>
                <w:sz w:val="20"/>
              </w:rPr>
              <w:t xml:space="preserve">Austin, </w:t>
            </w:r>
            <w:bookmarkStart w:id="10" w:name="xdx_906_edei--EntityAddressStateOrProvin"/>
            <w:bookmarkEnd w:id="10"/>
            <w:r>
              <w:rPr>
                <w:rFonts w:ascii="Times New Roman;Times;Serif" w:hAnsi="Times New Roman;Times;Serif"/>
                <w:b/>
                <w:i w:val="false"/>
                <w:caps w:val="false"/>
                <w:smallCaps w:val="false"/>
                <w:sz w:val="20"/>
              </w:rPr>
              <w:t xml:space="preserve">Texas </w:t>
            </w:r>
            <w:bookmarkStart w:id="11" w:name="xdx_908_edei--EntityAddressPostalZipCode"/>
            <w:bookmarkEnd w:id="11"/>
            <w:r>
              <w:rPr>
                <w:rFonts w:ascii="Times New Roman;Times;Serif" w:hAnsi="Times New Roman;Times;Serif"/>
                <w:b/>
                <w:i w:val="false"/>
                <w:caps w:val="false"/>
                <w:smallCaps w:val="false"/>
                <w:sz w:val="20"/>
              </w:rPr>
              <w:t>78702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ableContents"/>
              <w:bidi w:val="0"/>
              <w:spacing w:before="0" w:after="0"/>
              <w:ind w:left="0" w:right="0" w:hanging="0"/>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2" w:name="xdx_904_edei--CityAreaCode_c20260928__20"/>
            <w:bookmarkEnd w:id="12"/>
            <w:r>
              <w:rPr>
                <w:rFonts w:ascii="Times New Roman;Times;Serif" w:hAnsi="Times New Roman;Times;Serif"/>
                <w:b/>
                <w:i w:val="false"/>
                <w:caps w:val="false"/>
                <w:smallCaps w:val="false"/>
                <w:sz w:val="20"/>
              </w:rPr>
              <w:t>409-</w:t>
            </w:r>
            <w:bookmarkStart w:id="13" w:name="xdx_906_edei--LocalPhoneNumber_c20260928"/>
            <w:bookmarkEnd w:id="13"/>
            <w:r>
              <w:rPr>
                <w:rFonts w:ascii="Times New Roman;Times;Serif" w:hAnsi="Times New Roman;Times;Serif"/>
                <w:b/>
                <w:i w:val="false"/>
                <w:caps w:val="false"/>
                <w:smallCaps w:val="false"/>
                <w:sz w:val="20"/>
              </w:rPr>
              <w:t>599-5706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4" w:name="xdx_903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xdx_90B_edei--SolicitingMaterial_c202609"/>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6" w:name="xdx_905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7" w:name="xdx_908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575"/>
        <w:gridCol w:w="60"/>
        <w:gridCol w:w="1535"/>
        <w:gridCol w:w="60"/>
        <w:gridCol w:w="3590"/>
      </w:tblGrid>
      <w:tr>
        <w:trPr/>
        <w:tc>
          <w:tcPr>
            <w:tcW w:w="357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b/>
                <w:sz w:val="20"/>
              </w:rPr>
            </w:pPr>
            <w:bookmarkStart w:id="18" w:name="xdx_905_edei--Security12bTitle_c20260928"/>
            <w:bookmarkEnd w:id="18"/>
            <w:r>
              <w:rPr>
                <w:b/>
                <w:sz w:val="20"/>
              </w:rPr>
              <w:t>Common Stock, par value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b/>
                <w:sz w:val="20"/>
              </w:rPr>
            </w:pPr>
            <w:bookmarkStart w:id="19" w:name="xdx_90B_edei--TradingSymbol_c20260928__2"/>
            <w:bookmarkEnd w:id="19"/>
            <w:r>
              <w:rPr>
                <w:b/>
                <w:sz w:val="20"/>
              </w:rPr>
              <w:t>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center"/>
              <w:rPr>
                <w:b/>
                <w:sz w:val="20"/>
              </w:rPr>
            </w:pPr>
            <w:bookmarkStart w:id="20" w:name="xdx_906_edei--SecurityExchangeName_c2026"/>
            <w:bookmarkEnd w:id="20"/>
            <w:r>
              <w:rPr>
                <w:b/>
                <w:sz w:val="20"/>
              </w:rPr>
              <w:t>The 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T1 Energy Inc. (the “Company”) entered into a note purchase agreement (the “Note Purchase Agreement”) with a qualified institutional buyer that is an existing shareholder of the Company and new convertible notes investor (the “Purchaser”) for the sale of an additional $50.0 million in aggregate principal amount of the Company’s 4.75% Convertible Senior notes due 2031 (the “Convertible Notes”). The closing of the private placement is expected to occur on September 30, 2026 (such date, the “Closing Date”),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from the sale of the additional Convertible Notes are expected to be approximately $50.4 million (which is equal to the principal amount of the Convertible Notes plus accrued interest from July 31, 2026, the date on which the Existing Notes (as defined below) were originally issued), prior to deducting fees and expenses. The Company expects to use the net proceeds from the private placement for (i) construction and development of infrastructure and purchase of production line equipment relating to Phase 1 of its G2_Austin solar cell fab (“G2_Austin”) and (ii) general corporate purposes. The net proceeds of the private placement are intended as a bridge to a comprehensive financing solution, which includes a significant debt component, to fund the remaining capital expenditures for Phase 1 of G2_Austin that the Company continues to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the Note Purchase Agreement provides the Purchaser with certain registration rights for the shares of the Company’s common stock issuable upon conversion of the Convertible Notes. The Note Purchase Agreement requires the Company to prepare and file a new registration statement, or a prospectus supplement to the prospectus that forms a part of an existing registration statement, with the U.S. Securities and Exchange Commission (the “SEC”) as soon as reasonably practicable but in no event later than 30 calendar days following the Closing Date to register the resale of the shares underlying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 otherwise contains representations and warranties, covenants and other terms customary for an offering of this type.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Note Purchase Agreement is a summary and is not complete. A copy of the form of Note Purchase Agreement is filed herewith as Exhibit 10.1 to this Current Report on Form 8-K, and is incorporated herein by reference, and the above summary is qualified by reference to the terms of the Note Purchase Agreement set forth in such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an additional issuance of the 4.75% Convertible Senior Notes due 2031 that the Company issued on July 31, 2026 in an aggregate principal amount of $120.0 million (the “Existing Notes”). The Convertible Notes will be issued pursuant to the Indenture, dated as of July 31, 2026 (the “Indenture”), between the Company and U.S. Bank Trust Company, National Association, as trustee (in such capacity, the “Trustee”) pursuant to which the Existing Notes were previously issued. The Convertible Notes will be treated as a single series with the Existing Notes under the Indenture and will have the same terms as the Existing Notes. The Convertible Notes will have the same CUSIP number and will be fungible with the Existing Notes. Upon the issuance of the Convertible Notes, the outstanding aggregate principal amount of the Company’s 4.75% Convertible Senior Notes due 2031 will be $170.0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the senior unsecured obligations of the Company and bear interest at a rate of 4.75% per annum from and including the original issuance date of the Existing Notes, payable semi-annually in arrears on February 1 and August 1 of each year, beginning on February 1, 2027. The Convertible Notes will mature on August 1, 2031, unless earlier repurchased, redeemed or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May 1, 2031, holders may convert their Convertible Notes at their option only in certain circumstances. At any time from, and including, May 1, 2031 until the close of business on the business day immediately preceding the maturity date, the Convertible Notes will be convertible at the option of the holders. The Company will settle conversions by paying and/or delivering, as applicable, cash, shares of its common stock, or a combination of cash and shares of its common stock, at the Company’s election. The initial conversion rate is 224.0143 shares of the Company’s common stock per $1,000 principal amount of the Convertible Notes, which is equivalent to an initial conversion price of approximately $4.46 per share of common stock. If a “make-whole fundamental change” (as defined in the Indenture) occurs, or if the Company calls a holder’s Convertible Notes for redemption, then the Company will in certain circumstances increase the conversion rate for a specified period of time for holders who convert their Convertible Notes in connection with that make-whole fundamental change, or who convert their Convertible Notes that are called for such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not be redeemable prior to August 6, 2029. The Convertible Notes will be redeemable, in whole or in part (subject to certain limitations), at the Company’s option at any time, and from time to time, on or after August 6, 2029 and prior to the 41st scheduled trading day immediately before the maturity date, at a cash redemption price equal to the principal amount of the Convertible Notes to be redeemed, plus accrued and unpaid interest, if any, to, but excluding, the redemption date, but only if the last reported sale price per share of the Company’s common stock equals or exceeds 130% of the conversion price for the Convertible Notes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“fundamental change” (as defined in the Indenture) occurs, then, subject to certain exceptions, holders may require the Company to repurchase their Convertible Notes at a cash repurchase price equal to the principal amount of the Convertible Notes to be repurchased, plus accrued and unpaid interest, if any, to, but excluding, the fundamental change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governed by customary terms and covenants, including that upon certain events of default, including cross-acceleration to certain other indebtedness of the Company and certain of its subsidiaries, either the Trustee or the holders of not less than 25% in aggregate principal amount of the 4.75% Convertible Senior Notes due 2031 then outstanding may declare the principal amount of the Convertible Notes and accrued and unpaid interest, if any, thereon immediately due and payable. In the case of certain events of bankruptcy, insolvency or reorganization relating to the Company, the principal amount of the Convertible Notes and accrued and unpaid interest, if any, thereon will automatically become and be immediately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Indenture and the Convertible Notes is a summary and is not complete. The Indenture and the form of note representing the Convertible Notes are incorporated by reference as Exhibits 4.1 and 4.2, respectively, to this Current Report on Form 8-K, and are incorporated herein by reference, and the above summary is qualified by reference to the terms of the Indenture and the Convertible Notes set forth in such exhibits.</w:t>
      </w:r>
    </w:p>
    <w:p>
      <w:pPr>
        <w:pStyle w:val="TextBody"/>
        <w:bidi w:val="0"/>
        <w:spacing w:before="0" w:after="0"/>
        <w:ind w:left="0" w:right="0" w:hanging="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025"/>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2.03.</w:t>
            </w:r>
          </w:p>
        </w:tc>
        <w:tc>
          <w:tcPr>
            <w:tcW w:w="8180" w:type="dxa"/>
            <w:tcBorders/>
            <w:vAlign w:val="center"/>
          </w:tcPr>
          <w:p>
            <w:pPr>
              <w:pStyle w:val="TableContents"/>
              <w:bidi w:val="0"/>
              <w:spacing w:before="0" w:after="283"/>
              <w:jc w:val="both"/>
              <w:rPr>
                <w:b/>
              </w:rPr>
            </w:pPr>
            <w:r>
              <w:rPr>
                <w:b/>
              </w:rPr>
              <w:t>Creation of a Direct Financial Obligation or an Off-Balance Sheet Arrangement.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1.01 above is incorporated by reference into this Item 2.03. </w:t>
      </w:r>
    </w:p>
    <w:p>
      <w:pPr>
        <w:pStyle w:val="TextBody"/>
        <w:bidi w:val="0"/>
        <w:spacing w:before="0" w:after="0"/>
        <w:ind w:left="0"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025"/>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3.02.</w:t>
            </w:r>
          </w:p>
        </w:tc>
        <w:tc>
          <w:tcPr>
            <w:tcW w:w="3185" w:type="dxa"/>
            <w:tcBorders/>
            <w:vAlign w:val="center"/>
          </w:tcPr>
          <w:p>
            <w:pPr>
              <w:pStyle w:val="TableContents"/>
              <w:bidi w:val="0"/>
              <w:spacing w:before="0" w:after="283"/>
              <w:jc w:val="both"/>
              <w:rPr>
                <w:b/>
              </w:rPr>
            </w:pPr>
            <w:r>
              <w:rPr>
                <w:b/>
              </w:rPr>
              <w:t>Unregistered Sale of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being sold to the Purchaser in a private placement pursuant to an exemption from the registration requirements of the Securities Act of 1933, as amended (the “Securities Act”) provided by Section 4(a)(2) of the Securities Act. The Company is relying on this exemption from registration based in part on representations made by the Purchaser in the Note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shares of the Company’s common stock are issued upon conversion of the Convertible Notes, they will be issued in transactions anticipated to be exempt from registration under the Securities Act by virtue of Section 3(a)(9) thereof because no commission or other remuneration is expected to be paid in connection with conversion of the Convertible Notes and any resulting issuance of shares of common stock. Initially, a maximum of 13,440,860 shares of the Company’s common stock may be issued upon conversion of the Convertible Notes based on the initial maximum conversion rate of 268.8172 shares of common stock per $1,000 principal amount of Convertible Notes, which is subject to customary anti-dilution adjustment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related to the issuance of the Convertible Notes set forth in Item 1.01 of this Current Report on Form 8-K is incorporated by reference into this Item 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Concerning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including, without limitation, statements with respect to the anticipated use of proceeds from the offering, the expected timing for the closing of the offering and the Company’s target to finance the remaining balance of its capital expenditures relating to Phase 1 of G_2 Austin. These statements are neither promises nor guarantees, but involve known and unknown risks, uncertainties and other important factors that may cause actual future events, results, or achievements to be materially different from the Company’s expectations and projections expressed or implied by the forward-looking statements. Important factors include, but are not limited to, those discussed under the caption “Risk Factors” in the Company’s Annual Report on Form 10-K for the year ended December 31, 2025 filed with the SEC on March 31, 2026, as amended and supplemented by Amendment No. 1 on Form 10-K/A filed with the SEC on April 30, 2026, and in the Company’s other filings with the SEC, including risks related to: (1) the Company’s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the Company’s internal control over financial reporting or otherwise maintain effective internal control over financial reporting, (ix) qualify for the advanced manufacturing production credit under Section 45X of the Internal Revenue Code of 1986, as amended, and (x) rely on third-party warranties; (2) the Company’s ability to secure a comprehensive financing solution to fund the remaining capital expenditure for G2_Austin Phase 1 on favorable terms, or at all, and the timing of such financing; (3) the concentration of the Company’s operations in Texas and its dependence on a limited number of suppliers; (4) changes adversely affecting the flow of components and materials from international vendors, the costs of raw materials, components, equipment, and machinery; (5) general economic and geopolitical conditions, (6) changes in applicable laws or regulations, including environmental, export control and tax laws and incentives and renewable energy targets, as well as international trade policies, including tariffs, on the Company’s products and competitive position; (7) the outcome of any legal proceedings relating to the Company’s products and services, including intellectual property or product liability claims, commercial or contractual disputes, warranty claims, and other proceedings; and (8) the capital-intensive nature of the Company’s business and its ability to raise additional capital on attractive terms or service its debt. The above referenced filings are available on the SEC’s website at www.sec.gov. Forward-looking statements speak only as of the date of this Current Report on Form 8-K and are based on information available to the Company as of the date of this Current Report on Form 8-K, and the Company assumes no obligation to update such forward-looking statements, all of which are expressly qualified by the statements in this section,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102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620" w:type="dxa"/>
            <w:tcBorders/>
            <w:vAlign w:val="center"/>
          </w:tcPr>
          <w:p>
            <w:pPr>
              <w:pStyle w:val="TableContents"/>
              <w:bidi w:val="0"/>
              <w:spacing w:before="0" w:after="283"/>
              <w:jc w:val="left"/>
              <w:rPr>
                <w:b/>
              </w:rPr>
            </w:pPr>
            <w:r>
              <w:rPr>
                <w:b/>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9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b/>
              </w:rPr>
            </w:pPr>
            <w:r>
              <w:rPr>
                <w:b/>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0"/>
        <w:gridCol w:w="60"/>
        <w:gridCol w:w="9335"/>
      </w:tblGrid>
      <w:tr>
        <w:trPr/>
        <w:tc>
          <w:tcPr>
            <w:tcW w:w="810" w:type="dxa"/>
            <w:tcBorders>
              <w:bottom w:val="single" w:sz="12" w:space="0" w:color="000000"/>
            </w:tcBorders>
            <w:vAlign w:val="center"/>
          </w:tcPr>
          <w:p>
            <w:pPr>
              <w:pStyle w:val="TableContents"/>
              <w:bidi w:val="0"/>
              <w:spacing w:before="0" w:after="283"/>
              <w:jc w:val="center"/>
              <w:rPr>
                <w:b/>
              </w:rPr>
            </w:pPr>
            <w:r>
              <w:rPr>
                <w:b/>
              </w:rPr>
              <w:t xml:space="preserve">Exhibit </w:t>
              <w:br/>
              <w:t>No.</w:t>
            </w:r>
          </w:p>
        </w:tc>
        <w:tc>
          <w:tcPr>
            <w:tcW w:w="60" w:type="dxa"/>
            <w:tcBorders/>
            <w:tcMar>
              <w:bottom w:w="0" w:type="dxa"/>
            </w:tcMar>
            <w:vAlign w:val="center"/>
          </w:tcPr>
          <w:p>
            <w:pPr>
              <w:pStyle w:val="TableContents"/>
              <w:bidi w:val="0"/>
              <w:spacing w:before="0" w:after="283"/>
              <w:jc w:val="left"/>
              <w:rPr/>
            </w:pPr>
            <w:r>
              <w:rPr/>
              <w:t> </w:t>
            </w:r>
          </w:p>
        </w:tc>
        <w:tc>
          <w:tcPr>
            <w:tcW w:w="933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810" w:type="dxa"/>
            <w:tcBorders/>
            <w:shd w:fill="CCEEFF" w:val="clear"/>
            <w:tcMar>
              <w:bottom w:w="0" w:type="dxa"/>
            </w:tcMar>
            <w:vAlign w:val="center"/>
          </w:tcPr>
          <w:p>
            <w:pPr>
              <w:pStyle w:val="TableContents"/>
              <w:bidi w:val="0"/>
              <w:spacing w:before="0" w:after="283"/>
              <w:jc w:val="center"/>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5" w:type="dxa"/>
            <w:tcBorders/>
            <w:shd w:fill="CCEEFF" w:val="clear"/>
            <w:tcMar>
              <w:bottom w:w="0" w:type="dxa"/>
            </w:tcMar>
            <w:vAlign w:val="center"/>
          </w:tcPr>
          <w:p>
            <w:pPr>
              <w:pStyle w:val="TableContents"/>
              <w:bidi w:val="0"/>
              <w:spacing w:before="0" w:after="283"/>
              <w:jc w:val="both"/>
              <w:rPr/>
            </w:pPr>
            <w:hyperlink r:id="rId2">
              <w:r>
                <w:rPr>
                  <w:rStyle w:val="InternetLink"/>
                  <w:sz w:val="20"/>
                </w:rPr>
                <w:t>Indenture, dated as of July 31, 2026, between T1 Energy Inc. and U.S. Bank Trust Company, National Association, as trustee (incorporated by reference to Exhibit 4.1 of the Company’s Current Report on Form 8-K, filed with the SEC on July 31, 2026).</w:t>
              </w:r>
            </w:hyperlink>
          </w:p>
        </w:tc>
      </w:tr>
      <w:tr>
        <w:trPr/>
        <w:tc>
          <w:tcPr>
            <w:tcW w:w="810" w:type="dxa"/>
            <w:tcBorders/>
            <w:shd w:fill="FFFFFF" w:val="clear"/>
            <w:tcMar>
              <w:bottom w:w="0" w:type="dxa"/>
            </w:tcMar>
            <w:vAlign w:val="center"/>
          </w:tcPr>
          <w:p>
            <w:pPr>
              <w:pStyle w:val="TableContents"/>
              <w:bidi w:val="0"/>
              <w:spacing w:before="0" w:after="283"/>
              <w:jc w:val="center"/>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5" w:type="dxa"/>
            <w:tcBorders/>
            <w:shd w:fill="FFFFFF" w:val="clear"/>
            <w:tcMar>
              <w:bottom w:w="0" w:type="dxa"/>
            </w:tcMar>
            <w:vAlign w:val="center"/>
          </w:tcPr>
          <w:p>
            <w:pPr>
              <w:pStyle w:val="TableContents"/>
              <w:bidi w:val="0"/>
              <w:spacing w:before="0" w:after="283"/>
              <w:jc w:val="both"/>
              <w:rPr/>
            </w:pPr>
            <w:hyperlink r:id="rId3">
              <w:r>
                <w:rPr>
                  <w:rStyle w:val="InternetLink"/>
                  <w:sz w:val="20"/>
                </w:rPr>
                <w:t>Form of 4.75% Convertible Senior Note due 2031 (included in Exhibit 4.1) (incorporated by reference to Exhibit 4.2 of the Company’s Current Report on Form 8-K, filed with the SEC on July 31, 2026).</w:t>
              </w:r>
            </w:hyperlink>
          </w:p>
        </w:tc>
      </w:tr>
      <w:tr>
        <w:trPr/>
        <w:tc>
          <w:tcPr>
            <w:tcW w:w="81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5" w:type="dxa"/>
            <w:tcBorders/>
            <w:shd w:fill="CCEEFF" w:val="clear"/>
            <w:tcMar>
              <w:bottom w:w="0" w:type="dxa"/>
            </w:tcMar>
            <w:vAlign w:val="center"/>
          </w:tcPr>
          <w:p>
            <w:pPr>
              <w:pStyle w:val="TableContents"/>
              <w:bidi w:val="0"/>
              <w:spacing w:before="0" w:after="283"/>
              <w:jc w:val="both"/>
              <w:rPr/>
            </w:pPr>
            <w:hyperlink w:anchor="ea030694801ex10-1.htm">
              <w:r>
                <w:rPr>
                  <w:rStyle w:val="InternetLink"/>
                  <w:sz w:val="20"/>
                </w:rPr>
                <w:t>Form of Note Purchase Agreement.*</w:t>
              </w:r>
            </w:hyperlink>
          </w:p>
        </w:tc>
      </w:tr>
      <w:tr>
        <w:trPr/>
        <w:tc>
          <w:tcPr>
            <w:tcW w:w="810" w:type="dxa"/>
            <w:tcBorders/>
            <w:shd w:fill="FFFFFF" w:val="clear"/>
            <w:tcMar>
              <w:bottom w:w="0" w:type="dxa"/>
            </w:tcMar>
            <w:vAlign w:val="center"/>
          </w:tcPr>
          <w:p>
            <w:pPr>
              <w:pStyle w:val="TableContents"/>
              <w:bidi w:val="0"/>
              <w:spacing w:before="0" w:after="283"/>
              <w:jc w:val="center"/>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5"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schedules and exhibits have been omitted pursuant to Item 601(a)(5) of Regulation S-K. The Company agrees to furnish supplementally a copy of any omitted schedule or exhibit to the SEC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740" w:type="dxa"/>
        <w:jc w:val="left"/>
        <w:tblInd w:w="0" w:type="dxa"/>
        <w:tblLayout w:type="fixed"/>
        <w:tblCellMar>
          <w:top w:w="0" w:type="dxa"/>
          <w:left w:w="0" w:type="dxa"/>
          <w:bottom w:w="0" w:type="dxa"/>
          <w:right w:w="0" w:type="dxa"/>
        </w:tblCellMar>
      </w:tblPr>
      <w:tblGrid>
        <w:gridCol w:w="2135"/>
        <w:gridCol w:w="710"/>
        <w:gridCol w:w="1895"/>
      </w:tblGrid>
      <w:tr>
        <w:trPr/>
        <w:tc>
          <w:tcPr>
            <w:tcW w:w="2135" w:type="dxa"/>
            <w:tcBorders/>
            <w:vAlign w:val="center"/>
          </w:tcPr>
          <w:p>
            <w:pPr>
              <w:pStyle w:val="TableContents"/>
              <w:bidi w:val="0"/>
              <w:spacing w:before="0" w:after="283"/>
              <w:jc w:val="left"/>
              <w:rPr>
                <w:sz w:val="4"/>
                <w:szCs w:val="4"/>
              </w:rPr>
            </w:pPr>
            <w:r>
              <w:rPr>
                <w:sz w:val="4"/>
                <w:szCs w:val="4"/>
              </w:rPr>
            </w:r>
          </w:p>
        </w:tc>
        <w:tc>
          <w:tcPr>
            <w:tcW w:w="2605" w:type="dxa"/>
            <w:gridSpan w:val="2"/>
            <w:tcBorders/>
            <w:vAlign w:val="center"/>
          </w:tcPr>
          <w:p>
            <w:pPr>
              <w:pStyle w:val="TableContents"/>
              <w:bidi w:val="0"/>
              <w:spacing w:before="0" w:after="283"/>
              <w:jc w:val="left"/>
              <w:rPr>
                <w:b/>
              </w:rPr>
            </w:pPr>
            <w:r>
              <w:rPr>
                <w:b/>
              </w:rPr>
              <w:t>T1 ENERGY INC.</w:t>
            </w:r>
          </w:p>
        </w:tc>
      </w:tr>
      <w:tr>
        <w:trPr/>
        <w:tc>
          <w:tcPr>
            <w:tcW w:w="2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605" w:type="dxa"/>
            <w:gridSpan w:val="2"/>
            <w:tcBorders>
              <w:bottom w:val="single" w:sz="12" w:space="0" w:color="000000"/>
            </w:tcBorders>
            <w:tcMar>
              <w:bottom w:w="28" w:type="dxa"/>
            </w:tcMar>
            <w:vAlign w:val="center"/>
          </w:tcPr>
          <w:p>
            <w:pPr>
              <w:pStyle w:val="TableContents"/>
              <w:bidi w:val="0"/>
              <w:spacing w:before="0" w:after="283"/>
              <w:jc w:val="left"/>
              <w:rPr/>
            </w:pPr>
            <w:r>
              <w:rPr/>
              <w:t>/s/ Evan Calio</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Name: </w:t>
            </w:r>
          </w:p>
        </w:tc>
        <w:tc>
          <w:tcPr>
            <w:tcW w:w="1895" w:type="dxa"/>
            <w:tcBorders/>
            <w:vAlign w:val="center"/>
          </w:tcPr>
          <w:p>
            <w:pPr>
              <w:pStyle w:val="TableContents"/>
              <w:bidi w:val="0"/>
              <w:spacing w:before="0" w:after="283"/>
              <w:jc w:val="left"/>
              <w:rPr/>
            </w:pPr>
            <w:r>
              <w:rPr/>
              <w:t>Evan Calio</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29, 2026</w:t>
            </w:r>
          </w:p>
        </w:tc>
        <w:tc>
          <w:tcPr>
            <w:tcW w:w="71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694801ex10-1.htm"/>
      <w:bookmarkStart w:id="23" w:name="ksea030694801ex101"/>
      <w:bookmarkEnd w:id="22"/>
      <w:bookmarkEnd w:id="2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br/>
        <w:br/>
        <w:t>NOTE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This Note Purchase Agreement</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as of September 28, 2026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between T1 Energy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the party named on the signature page attached hereto, on behalf of such party and, if applicable, on behalf of the accounts and funds managed or administered by such party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(collectively, the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authorized, upon the terms and conditions stated in this Agreement, the sale and issuance of 4.75% Convertible Senior Notes due 2031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Notes will be issued pursuant to the Indenture, dated as of July 31, 2026 (as supplemented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and, collectively with this Agreement and the Notes, the “</w:t>
      </w:r>
      <w:r>
        <w:rPr>
          <w:rFonts w:ascii="Times New Roman;Times;Serif" w:hAnsi="Times New Roman;Times;Serif"/>
          <w:b/>
          <w:i/>
          <w:caps w:val="false"/>
          <w:smallCaps w:val="false"/>
          <w:sz w:val="20"/>
        </w:rPr>
        <w:t>Note Documents</w:t>
      </w:r>
      <w:r>
        <w:rPr>
          <w:rFonts w:ascii="Times New Roman;Times;Serif" w:hAnsi="Times New Roman;Times;Serif"/>
          <w:b w:val="false"/>
          <w:i w:val="false"/>
          <w:caps w:val="false"/>
          <w:smallCaps w:val="false"/>
          <w:sz w:val="20"/>
        </w:rPr>
        <w:t>”), between the Company and U.S. Bank Trust Company, National Association, as trustee (in such capacity,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and the Notes will be convertible into cash, shares of the Company’s common stock, par value $0.01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or a combination of cash and shares of Common Stock at the option of the Company, as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except as with respect to issue date, issue price and interest accrued prior to the issue date of the Notes, the Notes offered and sold by the Company pursuant to this Agreement will have identical terms to its existing 4.75% Convertible Senior Notes due 2031 (the “</w:t>
      </w:r>
      <w:r>
        <w:rPr>
          <w:rFonts w:ascii="Times New Roman;Times;Serif" w:hAnsi="Times New Roman;Times;Serif"/>
          <w:b w:val="false"/>
          <w:i w:val="false"/>
          <w:caps w:val="false"/>
          <w:smallCaps w:val="false"/>
          <w:sz w:val="20"/>
          <w:u w:val="single"/>
        </w:rPr>
        <w:t>Existing Securities</w:t>
      </w:r>
      <w:r>
        <w:rPr>
          <w:rFonts w:ascii="Times New Roman;Times;Serif" w:hAnsi="Times New Roman;Times;Serif"/>
          <w:b w:val="false"/>
          <w:i w:val="false"/>
          <w:caps w:val="false"/>
          <w:smallCaps w:val="false"/>
          <w:sz w:val="20"/>
        </w:rPr>
        <w:t>”) issued on July 31, 2026 pursuant to the Indenture, and the Notes and the Existing Securities will be treated as a single series of notes for all purposes under the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terms and subject to the conditions set forth in this Agreement and pursuant to Section 4(a)(2) of the Securities Act of 1933, as amended (including the rules and regulations promulgated thereunder,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on the Closing Date (as defined below), the Company will issue and sell to Purchaser, and Purchaser will purchase from the Company, Notes in the aggregate principal amount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mutual covenants contained in this Agreement, and for other good and valuable consideration, the receipt and adequacy of which are hereby acknowledged, the Company and the Purchaser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Purchase and Sale of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b/>
              </w:rPr>
            </w:pPr>
            <w:r>
              <w:rPr>
                <w:b/>
              </w:rPr>
              <w:t>(a)</w:t>
            </w:r>
          </w:p>
        </w:tc>
        <w:tc>
          <w:tcPr>
            <w:tcW w:w="9930" w:type="dxa"/>
            <w:tcBorders/>
            <w:vAlign w:val="center"/>
          </w:tcPr>
          <w:p>
            <w:pPr>
              <w:pStyle w:val="TableContents"/>
              <w:bidi w:val="0"/>
              <w:spacing w:before="0" w:after="283"/>
              <w:jc w:val="both"/>
              <w:rPr/>
            </w:pPr>
            <w:r>
              <w:rPr>
                <w:b/>
              </w:rPr>
              <w:t>Issuance of Notes</w:t>
            </w:r>
            <w:r>
              <w:rPr/>
              <w:t xml:space="preserve">. Subject to the terms and conditions of this Agreement, the Purchaser agrees to purchase from the Company, and the Company shall issue and sell to the Purchaser, Notes in the aggregate principal amount set forth on </w:t>
            </w:r>
            <w:r>
              <w:rPr>
                <w:u w:val="single"/>
              </w:rPr>
              <w:t>Schedule A</w:t>
            </w:r>
            <w:r>
              <w:rPr/>
              <w:t xml:space="preserve"> and for the purchase price set forth on </w:t>
            </w:r>
            <w:r>
              <w:rPr>
                <w:u w:val="single"/>
              </w:rPr>
              <w:t>Schedule A</w:t>
            </w:r>
            <w:r>
              <w:rPr/>
              <w:t> (the “</w:t>
            </w:r>
            <w:r>
              <w:rPr>
                <w:b/>
                <w:i/>
              </w:rPr>
              <w:t>Purchase Price</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b/>
              </w:rPr>
            </w:pPr>
            <w:r>
              <w:rPr>
                <w:b/>
              </w:rPr>
              <w:t>(b)</w:t>
            </w:r>
          </w:p>
        </w:tc>
        <w:tc>
          <w:tcPr>
            <w:tcW w:w="9927" w:type="dxa"/>
            <w:tcBorders/>
            <w:vAlign w:val="center"/>
          </w:tcPr>
          <w:p>
            <w:pPr>
              <w:pStyle w:val="TableContents"/>
              <w:bidi w:val="0"/>
              <w:spacing w:before="0" w:after="283"/>
              <w:jc w:val="both"/>
              <w:rPr/>
            </w:pPr>
            <w:r>
              <w:rPr>
                <w:b/>
              </w:rPr>
              <w:t>Delivery</w:t>
            </w:r>
            <w:r>
              <w:rPr/>
              <w:t>. The sale and purchase of the Notes shall take place at one closing (the “</w:t>
            </w:r>
            <w:r>
              <w:rPr>
                <w:b/>
                <w:i/>
              </w:rPr>
              <w:t>Closing</w:t>
            </w:r>
            <w:r>
              <w:rPr/>
              <w:t>”) to be held on the Closing Date. At the Closing, (a) the Purchaser shall pay to the Company the Purchase Price in United States dollars and in immediately available funds, by wire transfer to the Company account as set forth in the instructions delivered to the Purchaser by the Company prior to the Closing, and (b) the Company shall cause the Trustee to execute and authenticate and cause to be delivered to, or for the benefit of, the Purchaser the applicable amount of the Notes issuable to the Purchaser pursuant to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b/>
              </w:rPr>
            </w:pPr>
            <w:r>
              <w:rPr>
                <w:b/>
              </w:rPr>
              <w:t>(c)</w:t>
            </w:r>
          </w:p>
        </w:tc>
        <w:tc>
          <w:tcPr>
            <w:tcW w:w="9946" w:type="dxa"/>
            <w:tcBorders/>
            <w:vAlign w:val="center"/>
          </w:tcPr>
          <w:p>
            <w:pPr>
              <w:pStyle w:val="TableContents"/>
              <w:bidi w:val="0"/>
              <w:spacing w:before="0" w:after="283"/>
              <w:jc w:val="both"/>
              <w:rPr/>
            </w:pPr>
            <w:r>
              <w:rPr>
                <w:b/>
              </w:rPr>
              <w:t>Use of Proceeds</w:t>
            </w:r>
            <w:r>
              <w:rPr/>
              <w:t>. The Company shall use the proceeds from the sale and issuance of the Notes for (i) construction and development of infrastructure and purchase of production line equipment relating to Phase 1 of the Company’s solar cell manufacturing fab in Milam County, Texas and (ii) general corporate purposes.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120"/>
        <w:gridCol w:w="8946"/>
      </w:tblGrid>
      <w:tr>
        <w:trPr/>
        <w:tc>
          <w:tcPr>
            <w:tcW w:w="13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b/>
              </w:rPr>
            </w:pPr>
            <w:r>
              <w:rPr>
                <w:b/>
              </w:rPr>
              <w:t>(d)</w:t>
            </w:r>
          </w:p>
        </w:tc>
        <w:tc>
          <w:tcPr>
            <w:tcW w:w="8946" w:type="dxa"/>
            <w:tcBorders/>
            <w:vAlign w:val="center"/>
          </w:tcPr>
          <w:p>
            <w:pPr>
              <w:pStyle w:val="TableContents"/>
              <w:bidi w:val="0"/>
              <w:spacing w:before="0" w:after="283"/>
              <w:jc w:val="both"/>
              <w:rPr/>
            </w:pPr>
            <w:r>
              <w:rPr>
                <w:b/>
              </w:rPr>
              <w:t>Closing and Settlement</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Closing and the settlement of the transactions hereunder (the “</w:t>
      </w:r>
      <w:r>
        <w:rPr>
          <w:rFonts w:ascii="Times New Roman;Times;Serif" w:hAnsi="Times New Roman;Times;Serif"/>
          <w:b/>
          <w:i/>
          <w:caps w:val="false"/>
          <w:smallCaps w:val="false"/>
          <w:sz w:val="20"/>
        </w:rPr>
        <w:t>Settlement</w:t>
      </w:r>
      <w:r>
        <w:rPr>
          <w:rFonts w:ascii="Times New Roman;Times;Serif" w:hAnsi="Times New Roman;Times;Serif"/>
          <w:b w:val="false"/>
          <w:i w:val="false"/>
          <w:caps w:val="false"/>
          <w:smallCaps w:val="false"/>
          <w:sz w:val="20"/>
        </w:rPr>
        <w:t>”) shall be made remotely via the exchange of documents and signatures at 10:00 A.M., New York City time, two Business Days (as defined in the Indenture) following the Effective Date, subject to the satisfaction or waiver of the conditions set forth in </w:t>
      </w:r>
      <w:r>
        <w:rPr>
          <w:rFonts w:ascii="Times New Roman;Times;Serif" w:hAnsi="Times New Roman;Times;Serif"/>
          <w:b w:val="false"/>
          <w:i w:val="false"/>
          <w:caps w:val="false"/>
          <w:smallCaps w:val="false"/>
          <w:sz w:val="20"/>
          <w:u w:val="single"/>
        </w:rPr>
        <w:t>Section 1(e)</w:t>
      </w:r>
      <w:r>
        <w:rPr>
          <w:rFonts w:ascii="Times New Roman;Times;Serif" w:hAnsi="Times New Roman;Times;Serif"/>
          <w:b w:val="false"/>
          <w:i w:val="false"/>
          <w:caps w:val="false"/>
          <w:smallCaps w:val="false"/>
          <w:sz w:val="20"/>
        </w:rPr>
        <w:t>, or at such other time and place as the Company and the Purchaser may mutually agree in writing. The time and date of the Closing and the Settlement is referred to as the “</w:t>
      </w:r>
      <w:r>
        <w:rPr>
          <w:rFonts w:ascii="Times New Roman;Times;Serif" w:hAnsi="Times New Roman;Times;Serif"/>
          <w:b/>
          <w:i/>
          <w:caps w:val="false"/>
          <w:smallCaps w:val="false"/>
          <w:sz w:val="20"/>
        </w:rPr>
        <w:t>Closing Date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On the Closing Date, subject to satisfaction of the conditions precedent specified in this Agreement, the Company shall execute, and cause the Trustee to execute and authenticate and cause to be delivered to, or for the benefit of, the Purchaser, or its accounts, Notes in the aggregate principal amount set forth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The Notes to be delivered to, or for the benefit of, the Purchaser, or its accounts, on the Closing Date shall be delivered by causing the Trustee to electronically transmit the applicable amounts of the Notes in the aggregate principal amount set forth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by crediting the account of the Purchaser’s or its accounts’ prime broker with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through its Deposit/Withdrawal at Custodian system, as specified by the Purchaser.</w:t>
      </w:r>
    </w:p>
    <w:p>
      <w:pPr>
        <w:pStyle w:val="TextBody"/>
        <w:bidi w:val="0"/>
        <w:spacing w:before="0" w:after="0"/>
        <w:ind w:left="0" w:right="0" w:firstLine="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1198"/>
        <w:gridCol w:w="8842"/>
      </w:tblGrid>
      <w:tr>
        <w:trPr/>
        <w:tc>
          <w:tcPr>
            <w:tcW w:w="1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b/>
              </w:rPr>
            </w:pPr>
            <w:r>
              <w:rPr>
                <w:b/>
              </w:rPr>
              <w:t>(e)</w:t>
            </w:r>
          </w:p>
        </w:tc>
        <w:tc>
          <w:tcPr>
            <w:tcW w:w="8842" w:type="dxa"/>
            <w:tcBorders/>
            <w:vAlign w:val="center"/>
          </w:tcPr>
          <w:p>
            <w:pPr>
              <w:pStyle w:val="TableContents"/>
              <w:bidi w:val="0"/>
              <w:spacing w:before="0" w:after="283"/>
              <w:jc w:val="both"/>
              <w:rPr/>
            </w:pPr>
            <w:r>
              <w:rPr>
                <w:b/>
              </w:rPr>
              <w:t>Closing Conditions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obligations of the Purchaser shall be subject to the satisfaction or waiver of the following conditions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the Company contained herein shall be true and correct in all material respects on the date hereof and on and as of the Closing Date (other than representations and warranties of the Company that are qualified by materiality of Material Adverse Effect (as defined below), which representations and warranties shall be true and correct in all respects), and the Company shall have performed all applicable covenants and agreements and satisfied all conditions on its part to be performed or satisfied hereunder at or prior to the Closing Date.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 xml:space="preserve">No Legal Impediment to Issuance. </w:t>
      </w:r>
      <w:r>
        <w:rPr>
          <w:rFonts w:ascii="Times New Roman;Times;Serif" w:hAnsi="Times New Roman;Times;Serif"/>
          <w:b w:val="false"/>
          <w:i w:val="false"/>
          <w:caps w:val="false"/>
          <w:smallCaps w:val="false"/>
          <w:sz w:val="20"/>
        </w:rPr>
        <w:t>No action shall have been taken and no statute, rule, regulation or order shall have been enacted, adopted or issued by any federal, state or foreign governmental or regulatory authority that would, as of the Closing Date, prevent the consummation of the transactions under this Agreement; and no injunction or order of any federal, state or foreign court shall have been issued that would, as of the Closing Date, prevent the consummation of the transactions under this Agreement, including, but not limited to, the issuance of the Notes pursuant thereto.</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Note Documents</w:t>
      </w:r>
      <w:r>
        <w:rPr>
          <w:rFonts w:ascii="Times New Roman;Times;Serif" w:hAnsi="Times New Roman;Times;Serif"/>
          <w:b w:val="false"/>
          <w:i w:val="false"/>
          <w:caps w:val="false"/>
          <w:smallCaps w:val="false"/>
          <w:sz w:val="20"/>
        </w:rPr>
        <w:t>. The Company and the Trustee shall each have executed and delivered each of the Note Documents to which they are a party, and the Company shall have delivered to the Trustee the Company Order, Officer’s Certificate and Opinion of Counsel required by Section 2.10 of the Indenture, with copies to the Purchaser.</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Exchange Listing. </w:t>
      </w:r>
      <w:r>
        <w:rPr>
          <w:rFonts w:ascii="Times New Roman;Times;Serif" w:hAnsi="Times New Roman;Times;Serif"/>
          <w:b w:val="false"/>
          <w:i w:val="false"/>
          <w:caps w:val="false"/>
          <w:smallCaps w:val="false"/>
          <w:sz w:val="20"/>
        </w:rPr>
        <w:t>A number of shares of Common Stock equal to the maximum number of shares issuable upon conversion of the Notes shall have been approved for listing on the New York Stock Exchange, subject to official notice of issuance.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obligations of the Company shall be subject to the satisfaction or waiver of the following conditions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the Purchaser contained herein shall be true and correct in all material respects on the date hereof and on and as of the Closing Date, and the Purchaser shall have performed all applicable covenants and agreements and satisfied all conditions to be performed or satisfied hereunder at or prior to the Closing Date.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No Legal Impediment to Issuance. </w:t>
      </w:r>
      <w:r>
        <w:rPr>
          <w:rFonts w:ascii="Times New Roman;Times;Serif" w:hAnsi="Times New Roman;Times;Serif"/>
          <w:b w:val="false"/>
          <w:i w:val="false"/>
          <w:caps w:val="false"/>
          <w:smallCaps w:val="false"/>
          <w:sz w:val="20"/>
        </w:rPr>
        <w:t>No action shall have been taken and no statute, rule, regulation or order shall have been enacted, adopted or issued by any federal, state or foreign governmental or regulatory authority that would, as of the Closing Date, prevent the consummation of the transactions under this Agreement; and no injunction or order of any federal, state or foreign court shall have been issued that would, as of the Closing Date, prevent the consummation of the transactions under this Agreement, including the issuance of the Notes pursuant thereto.</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Note Documents</w:t>
      </w:r>
      <w:r>
        <w:rPr>
          <w:rFonts w:ascii="Times New Roman;Times;Serif" w:hAnsi="Times New Roman;Times;Serif"/>
          <w:b w:val="false"/>
          <w:i w:val="false"/>
          <w:caps w:val="false"/>
          <w:smallCaps w:val="false"/>
          <w:sz w:val="20"/>
        </w:rPr>
        <w:t>. The Trustee shall have executed and delivered each of the Note Documents to which its is a party.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Representations and Warranties of the Company</w:t>
      </w:r>
      <w:r>
        <w:rPr>
          <w:rFonts w:ascii="Times New Roman;Times;Serif" w:hAnsi="Times New Roman;Times;Serif"/>
          <w:b w:val="false"/>
          <w:i w:val="false"/>
          <w:caps w:val="false"/>
          <w:smallCaps w:val="false"/>
          <w:sz w:val="20"/>
        </w:rPr>
        <w:t>. The Company hereby represents and warrants to the Purchaser as follows as of the date hereof and as of the Closing Date: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b/>
              </w:rPr>
            </w:pPr>
            <w:r>
              <w:rPr>
                <w:b/>
              </w:rPr>
              <w:t>(a)</w:t>
            </w:r>
          </w:p>
        </w:tc>
        <w:tc>
          <w:tcPr>
            <w:tcW w:w="9946" w:type="dxa"/>
            <w:tcBorders/>
            <w:vAlign w:val="center"/>
          </w:tcPr>
          <w:p>
            <w:pPr>
              <w:pStyle w:val="TableContents"/>
              <w:bidi w:val="0"/>
              <w:spacing w:before="0" w:after="283"/>
              <w:jc w:val="both"/>
              <w:rPr/>
            </w:pPr>
            <w:r>
              <w:rPr>
                <w:b/>
              </w:rPr>
              <w:t>Organization, Good Standing and Qualification</w:t>
            </w:r>
            <w:r>
              <w:rPr/>
              <w:t>. The Company has been duly incorporated and is validly existing under the laws of Delaware, and has all requisite corporate power and corporate authority necessary to own, lease and operate its properties and to conduct its business as now conducted and to enter into and perform its obligations under this Agreement; and the Company is duly qualified to do business in all other jurisdictions in which its ownership or lease of property or the conduct of its business requires such qualification, except where the failure so to qualify would not, individually or in the aggregate, result in a material adverse effect on the condition (financial or otherwise), results of operations, business, management, properties or prospects of the Company and its subsidiaries, taken as a whole, or on the performance by the Company of its obligations under the Note Documents (“</w:t>
            </w:r>
            <w:r>
              <w:rPr>
                <w:b/>
                <w:i/>
              </w:rPr>
              <w:t>Material Adverse Effect</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670"/>
        <w:gridCol w:w="8327"/>
      </w:tblGrid>
      <w:tr>
        <w:trPr/>
        <w:tc>
          <w:tcPr>
            <w:tcW w:w="20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b/>
              </w:rPr>
            </w:pPr>
            <w:r>
              <w:rPr>
                <w:b/>
              </w:rPr>
              <w:t>(b)</w:t>
            </w:r>
          </w:p>
        </w:tc>
        <w:tc>
          <w:tcPr>
            <w:tcW w:w="8327" w:type="dxa"/>
            <w:tcBorders/>
            <w:vAlign w:val="center"/>
          </w:tcPr>
          <w:p>
            <w:pPr>
              <w:pStyle w:val="TableContents"/>
              <w:bidi w:val="0"/>
              <w:spacing w:before="0" w:after="283"/>
              <w:jc w:val="both"/>
              <w:rPr/>
            </w:pPr>
            <w:r>
              <w:rPr>
                <w:b/>
              </w:rPr>
              <w:t>Authorization</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Company has full power and authority to enter into the Note Documents. This Agreement has been duly authorized, executed and delivered by the Company and,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 (the “</w:t>
      </w:r>
      <w:r>
        <w:rPr>
          <w:rFonts w:ascii="Times New Roman;Times;Serif" w:hAnsi="Times New Roman;Times;Serif"/>
          <w:b/>
          <w:i/>
          <w:caps w:val="false"/>
          <w:smallCaps w:val="false"/>
          <w:sz w:val="20"/>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Indenture has been duly authorized, executed and delivered by the Company and constitutes a valid and legally binding agreement of the Company enforceable against the Company in accordance with its terms, subject to the Enforceability Exceptions.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The Notes have been duly authorized by the Company and, when the Notes have been duly executed, authenticated, issued and delivered as provided in the Indenture paid for by the Purchaser as provided in this Agreement on the Closing Date, such Notes will have been validly issued and outstanding and will constitute valid and legally binding obligations of the Company enforceable against the Company in accordance with their terms, subject to the Enforceability Exceptions, and will be entitled to the benefits of the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Upon issuance and delivery of the Notes in accordance with this Agreement and the Indenture, the Notes will be convertible into cash, shares of Common Stock, or a combination of cash and shares of Common Stock, at the Company’s election, in accordance with the terms of the Notes and the Indenture. A number of shares of Common Stock equal to the product of (x) the number of Notes (assuming “</w:t>
      </w:r>
      <w:r>
        <w:rPr>
          <w:rFonts w:ascii="Times New Roman;Times;Serif" w:hAnsi="Times New Roman;Times;Serif"/>
          <w:b/>
          <w:i/>
          <w:caps w:val="false"/>
          <w:smallCaps w:val="false"/>
          <w:sz w:val="20"/>
        </w:rPr>
        <w:t>Physical Settlement</w:t>
      </w:r>
      <w:r>
        <w:rPr>
          <w:rFonts w:ascii="Times New Roman;Times;Serif" w:hAnsi="Times New Roman;Times;Serif"/>
          <w:b w:val="false"/>
          <w:i w:val="false"/>
          <w:caps w:val="false"/>
          <w:smallCaps w:val="false"/>
          <w:sz w:val="20"/>
        </w:rPr>
        <w:t>” (as defined in the Indenture) of all such conversions) and (y) the conversion rate for the Notes (assuming the maximum increase to such conversion rate for a conversion of Notes in connection with a “</w:t>
      </w:r>
      <w:r>
        <w:rPr>
          <w:rFonts w:ascii="Times New Roman;Times;Serif" w:hAnsi="Times New Roman;Times;Serif"/>
          <w:b/>
          <w:i/>
          <w:caps w:val="false"/>
          <w:smallCaps w:val="false"/>
          <w:sz w:val="20"/>
        </w:rPr>
        <w:t>make-whole fundamental change</w:t>
      </w:r>
      <w:r>
        <w:rPr>
          <w:rFonts w:ascii="Times New Roman;Times;Serif" w:hAnsi="Times New Roman;Times;Serif"/>
          <w:b w:val="false"/>
          <w:i w:val="false"/>
          <w:caps w:val="false"/>
          <w:smallCaps w:val="false"/>
          <w:sz w:val="20"/>
        </w:rPr>
        <w:t>” (as defined in the Indenture) or a redemption of Notes) have been duly authorized and reserved for issuance by the Company upon any conversions of the Notes in accordance with the terms of the Notes and the Indenture and, if and when issued upon any conversion of the Notes in accordance with the terms of the Notes and the Indenture, will be validly issued, fully paid and non-assessable; no holder of such shares will be subject to personal liability by reason of being such a holder; and the issuance of such shares of Common Stock upon any such conversion will not be subject to the preemptive or other similar rights of any securityholder of the Company.</w:t>
      </w:r>
    </w:p>
    <w:p>
      <w:pPr>
        <w:pStyle w:val="TextBody"/>
        <w:bidi w:val="0"/>
        <w:spacing w:before="0" w:after="0"/>
        <w:ind w:left="0" w:right="0" w:firstLine="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b/>
              </w:rPr>
            </w:pPr>
            <w:r>
              <w:rPr>
                <w:b/>
              </w:rPr>
              <w:t>(c)</w:t>
            </w:r>
          </w:p>
        </w:tc>
        <w:tc>
          <w:tcPr>
            <w:tcW w:w="9956" w:type="dxa"/>
            <w:tcBorders/>
            <w:vAlign w:val="center"/>
          </w:tcPr>
          <w:p>
            <w:pPr>
              <w:pStyle w:val="TableContents"/>
              <w:bidi w:val="0"/>
              <w:spacing w:before="0" w:after="283"/>
              <w:jc w:val="both"/>
              <w:rPr/>
            </w:pPr>
            <w:r>
              <w:rPr>
                <w:b/>
              </w:rPr>
              <w:t>Filings and Consents</w:t>
            </w:r>
            <w:r>
              <w:rPr/>
              <w:t>. No consent, approval, authorization, or order of, or filing or registration with, any person (including any governmental agency or body or any court) is required to be obtained or made by the Company for the execution, delivery and performance of this Agreement, the Indenture and the Notes (including the issuance and delivery of any Common Stock and/or the payment of any cash, in each case, due upon conversion thereof), except such as have been obtained, or made and such as may be required under state securities laws.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b/>
              </w:rPr>
            </w:pPr>
            <w:r>
              <w:rPr>
                <w:b/>
              </w:rPr>
              <w:t>(d)</w:t>
            </w:r>
          </w:p>
        </w:tc>
        <w:tc>
          <w:tcPr>
            <w:tcW w:w="9931" w:type="dxa"/>
            <w:tcBorders/>
            <w:vAlign w:val="center"/>
          </w:tcPr>
          <w:p>
            <w:pPr>
              <w:pStyle w:val="TableContents"/>
              <w:bidi w:val="0"/>
              <w:spacing w:before="0" w:after="283"/>
              <w:jc w:val="both"/>
              <w:rPr/>
            </w:pPr>
            <w:r>
              <w:rPr>
                <w:b/>
              </w:rPr>
              <w:t>Absence of Existing Defaults and Conflicts</w:t>
            </w:r>
            <w:r>
              <w:rPr/>
              <w:t>. Neither the Company nor any of its subsidiaries is (i) in violation of its respective certificate of incorporation, charter or by-laws or similar organizational documents, as applicable; (ii) except as disclosed in the SEC Documents,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or (iii) in violation of any law or statute or any judgment, order, rule or regulation of any court or arbitrator or governmental or regulatory authority, except in the case of subsections (ii) and (iii) above, for any such defaults or violations that would not, individually or in the aggregate, result in a Material Adverse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b/>
              </w:rPr>
            </w:pPr>
            <w:r>
              <w:rPr>
                <w:b/>
              </w:rPr>
              <w:t>(e)</w:t>
            </w:r>
          </w:p>
        </w:tc>
        <w:tc>
          <w:tcPr>
            <w:tcW w:w="9963" w:type="dxa"/>
            <w:tcBorders/>
            <w:vAlign w:val="center"/>
          </w:tcPr>
          <w:p>
            <w:pPr>
              <w:pStyle w:val="TableContents"/>
              <w:bidi w:val="0"/>
              <w:spacing w:before="0" w:after="283"/>
              <w:jc w:val="both"/>
              <w:rPr/>
            </w:pPr>
            <w:r>
              <w:rPr>
                <w:b/>
              </w:rPr>
              <w:t>Offering</w:t>
            </w:r>
            <w:r>
              <w:rPr/>
              <w:t>. Assuming the accuracy of the representations and warranties of the Purchaser contained in </w:t>
            </w:r>
            <w:r>
              <w:rPr>
                <w:u w:val="single"/>
              </w:rPr>
              <w:t>Section 3</w:t>
            </w:r>
            <w:r>
              <w:rPr/>
              <w:t> hereof, (a) the offer, issue, and sale of the Notes and the Common Stock underlying the Notes (collectively, the “</w:t>
            </w:r>
            <w:r>
              <w:rPr>
                <w:b/>
                <w:i/>
              </w:rPr>
              <w:t>Securities</w:t>
            </w:r>
            <w:r>
              <w:rPr/>
              <w:t>”) are and will be exempt from the registration and prospectus delivery requirements of the Securities Act, and are exempt from registration and qualification under the registration, permit, or qualification requirements of all applicable state securities laws and (b) the Indenture is not required to be qualified under the Trust Indenture Act of 1939, as amended. The Notes, when issued, will not be of the same class as securities listed on a national securities exchange registered under Section 6 of the Securities Exchange Act of 1934, as amended (including the rules and regulations promulgated thereunder, the “</w:t>
            </w:r>
            <w:r>
              <w:rPr>
                <w:b/>
                <w:i/>
              </w:rPr>
              <w:t>Exchange Act</w:t>
            </w:r>
            <w:r>
              <w:rPr/>
              <w:t>”), or quoted in a U.S. automated inter-dealer quotation system, within the meaning of Rule 144A(d)(3)(i) under the Securities Act. The Company is not and, after giving effect to the transactions pursuant to this Agreement (including the use of proceeds from the sale of the Notes), will not be, required to register as an “investment company” under the Investment Company Act of 1940,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b/>
              </w:rPr>
            </w:pPr>
            <w:r>
              <w:rPr>
                <w:b/>
              </w:rPr>
              <w:t>(f)</w:t>
            </w:r>
          </w:p>
        </w:tc>
        <w:tc>
          <w:tcPr>
            <w:tcW w:w="9990" w:type="dxa"/>
            <w:tcBorders/>
            <w:vAlign w:val="center"/>
          </w:tcPr>
          <w:p>
            <w:pPr>
              <w:pStyle w:val="TableContents"/>
              <w:bidi w:val="0"/>
              <w:spacing w:before="0" w:after="283"/>
              <w:jc w:val="both"/>
              <w:rPr/>
            </w:pPr>
            <w:r>
              <w:rPr>
                <w:b/>
              </w:rPr>
              <w:t>No Integration</w:t>
            </w:r>
            <w:r>
              <w:rPr/>
              <w:t>. None of the Company, any of its affiliates (as defined in Rule 501(b) under the Securities Act), or any person acting on behalf of the Company or such affiliate will sell, offer for sale, or solicit offers to buy or otherwise negotiate in respect of any security (as defined in the Securities Act) which will be integrated with the sale of the Securities in a manner which would require the registration of the offer and sale of the Securities under the Securities Act or require shareholder approval under the rules and regulations of the New York Stock Exchange, and the Company will take all action that is appropriate or necessary to assure that its offerings of other securities will not be integrated for purposes of the Securities Act or the rules and regulations of the New York Stock Exchange with the offer and sale of the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b/>
              </w:rPr>
            </w:pPr>
            <w:r>
              <w:rPr>
                <w:b/>
              </w:rPr>
              <w:t>(g)</w:t>
            </w:r>
          </w:p>
        </w:tc>
        <w:tc>
          <w:tcPr>
            <w:tcW w:w="9950" w:type="dxa"/>
            <w:tcBorders/>
            <w:vAlign w:val="center"/>
          </w:tcPr>
          <w:p>
            <w:pPr>
              <w:pStyle w:val="TableContents"/>
              <w:bidi w:val="0"/>
              <w:spacing w:before="0" w:after="283"/>
              <w:jc w:val="both"/>
              <w:rPr/>
            </w:pPr>
            <w:r>
              <w:rPr>
                <w:b/>
              </w:rPr>
              <w:t>Public Filings</w:t>
            </w:r>
            <w:r>
              <w:rPr/>
              <w:t>. From January 1, 2025 to the date of this Agreement or the Closing Date, as applicable, the Company has filed all reports, schedules, forms, proxy statements, statements and other documents required to be filed by it with the Securities and Exchange Commission (the “</w:t>
            </w:r>
            <w:r>
              <w:rPr>
                <w:b/>
                <w:i/>
              </w:rPr>
              <w:t>SEC</w:t>
            </w:r>
            <w:r>
              <w:rPr/>
              <w:t>”) pursuant to the reporting requirements of the Exchange Act (all of the foregoing filed prior to the date hereof and all exhibits and appendices included therein and financial statements, notes and schedules thereto and documents incorporated by reference therein being hereinafter referred to as the “</w:t>
            </w:r>
            <w:r>
              <w:rPr>
                <w:b/>
                <w:i/>
              </w:rPr>
              <w:t>SEC Documents</w:t>
            </w:r>
            <w:r>
              <w:rPr/>
              <w:t>”).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any material fact necessary in order to make the statements therein, in the light of the circumstances under which they were made, not misleading. As of their respective dates, the financial statements of the Company included in the SEC Documents, together with the related schedules and notes, present fairly, in all material respects, the financial position of the Company and its consolidated subsidiaries as of the dates shown and their results of operations, shareholders’ equity and cash flows for the periods shown, and, except as otherwise disclosed in the SEC Documents, such financial statements have been prepared in conformity with U.S. Generally Accepted Accounting Principles applied on a consistent basis and the schedules included in the SEC Documents present fairly, in all material respects, the information required to be stated therein.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53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No Litigation</w:t>
      </w:r>
      <w:r>
        <w:rPr>
          <w:rFonts w:ascii="Times New Roman;Times;Serif" w:hAnsi="Times New Roman;Times;Serif"/>
          <w:b w:val="false"/>
          <w:i w:val="false"/>
          <w:caps w:val="false"/>
          <w:smallCaps w:val="false"/>
          <w:sz w:val="20"/>
        </w:rPr>
        <w:t>. There is no action, lawsuit, arbitration, claim or proceeding pending or, to the knowledge of the Company, threatened, against the Company that would reasonably be expected to impede the consummation of the purchase contemplated herein.</w:t>
      </w:r>
    </w:p>
    <w:p>
      <w:pPr>
        <w:pStyle w:val="TextBody"/>
        <w:bidi w:val="0"/>
        <w:spacing w:before="0" w:after="0"/>
        <w:ind w:left="0" w:right="0" w:firstLine="1530"/>
        <w:jc w:val="both"/>
        <w:rPr>
          <w:caps w:val="false"/>
          <w:smallCaps w:val="false"/>
        </w:rPr>
      </w:pPr>
      <w:r>
        <w:rPr>
          <w:caps w:val="false"/>
          <w:smallCaps w:val="false"/>
        </w:rPr>
        <w:t> </w:t>
      </w:r>
    </w:p>
    <w:p>
      <w:pPr>
        <w:pStyle w:val="TextBody"/>
        <w:bidi w:val="0"/>
        <w:spacing w:before="0" w:after="0"/>
        <w:ind w:left="0" w:right="0" w:firstLine="153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Reliance on Representations</w:t>
      </w:r>
      <w:r>
        <w:rPr>
          <w:rFonts w:ascii="Times New Roman;Times;Serif" w:hAnsi="Times New Roman;Times;Serif"/>
          <w:b w:val="false"/>
          <w:i w:val="false"/>
          <w:caps w:val="false"/>
          <w:smallCaps w:val="false"/>
          <w:sz w:val="20"/>
        </w:rPr>
        <w:t>. The Company acknowledges that the Purchaser and its accounts will rely upon the truth and accuracy of the foregoing acknowledgments, representations, warranties and agreements. The acknowledgments, representations, warranties and agreements shall be deemed to have been confirmed and repeated as of the Closing Date and the Company agrees to promptly notify the Purchaser in writing if such acknowledgments, representations, warranties and agreements are no longer accurate on or prior to the Closing Date.</w:t>
      </w:r>
    </w:p>
    <w:p>
      <w:pPr>
        <w:pStyle w:val="TextBody"/>
        <w:bidi w:val="0"/>
        <w:spacing w:before="0" w:after="0"/>
        <w:ind w:left="0" w:right="0" w:firstLine="15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Representations and Warranties of the Purchaser</w:t>
      </w:r>
      <w:r>
        <w:rPr>
          <w:rFonts w:ascii="Times New Roman;Times;Serif" w:hAnsi="Times New Roman;Times;Serif"/>
          <w:b w:val="false"/>
          <w:i w:val="false"/>
          <w:caps w:val="false"/>
          <w:smallCaps w:val="false"/>
          <w:sz w:val="20"/>
        </w:rPr>
        <w:t>. The Purchaser represents and warrants to the Company as follows as of the date hereof and as of the Closing Date: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b/>
              </w:rPr>
            </w:pPr>
            <w:r>
              <w:rPr>
                <w:b/>
              </w:rPr>
              <w:t>(a)</w:t>
            </w:r>
          </w:p>
        </w:tc>
        <w:tc>
          <w:tcPr>
            <w:tcW w:w="9949" w:type="dxa"/>
            <w:tcBorders/>
            <w:vAlign w:val="center"/>
          </w:tcPr>
          <w:p>
            <w:pPr>
              <w:pStyle w:val="TableContents"/>
              <w:bidi w:val="0"/>
              <w:spacing w:before="0" w:after="283"/>
              <w:jc w:val="both"/>
              <w:rPr/>
            </w:pPr>
            <w:r>
              <w:rPr>
                <w:b/>
              </w:rPr>
              <w:t>Purchase for Own Account</w:t>
            </w:r>
            <w:r>
              <w:rPr/>
              <w:t>. The Purchaser is acquiring the beneficial ownership interest in the Securities for its own account (or if it is subscribing for the Securities as a fiduciary or agent for one or more investor accounts, each owner of such account is a “qualified institutional buyer” as such term is defined in Rule 144A under the Securities Act, and the Purchaser has full investment discretion with respect to each such account, and the full power and authority to make the acknowledgements, representations, warranties and agreements made herein on behalf of each owner of each such account) for investment purposes only and not with a view to any distribution of the Securities in any manner that would violate the securities laws of the United States or any other jurisdiction. The Purchaser understands that the Securities have not been registered under the securities laws of the United States or any other jurisdiction and that the Securities may not be resold or transferred in the United States or otherwise except in compliance with applicable law and the restrictions on transfer set forth in the Note Documents. The Purchaser has not solicited offers for, or offered or sold, and will not solicit offers for, or offer or sell, the Securities by means of any form of general solicitation or general advertising or in any manner involving a public offering of the Securities. The Purchaser understands that no federal or state agency of any jurisdiction has passed upon the Securities or made any findings or determination as to the fairness of an investment in the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b/>
              </w:rPr>
            </w:pPr>
            <w:r>
              <w:rPr>
                <w:b/>
              </w:rPr>
              <w:t>(b)</w:t>
            </w:r>
          </w:p>
        </w:tc>
        <w:tc>
          <w:tcPr>
            <w:tcW w:w="9919" w:type="dxa"/>
            <w:tcBorders/>
            <w:vAlign w:val="center"/>
          </w:tcPr>
          <w:p>
            <w:pPr>
              <w:pStyle w:val="TableContents"/>
              <w:bidi w:val="0"/>
              <w:spacing w:before="0" w:after="283"/>
              <w:jc w:val="both"/>
              <w:rPr/>
            </w:pPr>
            <w:r>
              <w:rPr>
                <w:b/>
              </w:rPr>
              <w:t>Binding Obligation</w:t>
            </w:r>
            <w:r>
              <w:rPr/>
              <w:t>. The Purchaser has full power and authority to enter into the Note Documents to which it is party. The Note Documents to which the Purchaser is a party, when executed and delivered by the Purchaser, shall constitute valid and binding obligations of the Purchaser enforceable in accordance with their terms, subject to the Enforceability Exceptions.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b/>
              </w:rPr>
            </w:pPr>
            <w:r>
              <w:rPr>
                <w:b/>
              </w:rPr>
              <w:t>(c)</w:t>
            </w:r>
          </w:p>
        </w:tc>
        <w:tc>
          <w:tcPr>
            <w:tcW w:w="9965" w:type="dxa"/>
            <w:tcBorders/>
            <w:vAlign w:val="center"/>
          </w:tcPr>
          <w:p>
            <w:pPr>
              <w:pStyle w:val="TableContents"/>
              <w:bidi w:val="0"/>
              <w:spacing w:before="0" w:after="283"/>
              <w:jc w:val="both"/>
              <w:rPr/>
            </w:pPr>
            <w:r>
              <w:rPr>
                <w:b/>
              </w:rPr>
              <w:t>Investor Status</w:t>
            </w:r>
            <w:r>
              <w:rPr/>
              <w:t>. The Purchaser is (a) an institutional accredited investor (as defined in Rule 501(a)(1), (a)(2), (a)(3), (a)(7) or (a)(8) under the United States Securities Act of 1933, as amended), (b) an Institutional Account as defined in FINRA Rule 4512(c), (c) a “qualified institutional buyer” as such term is defined in Rule 144A under the Securities Act and (d) a sophisticated institutional investor, experienced in investing in business transactions and capable of evaluating investment risks independently, both in general and with regard to all transactions and investment strategies involving a security or securities, including its participation in the purchase of the Securities (such purchase, the “</w:t>
            </w:r>
            <w:r>
              <w:rPr>
                <w:b/>
                <w:i/>
              </w:rPr>
              <w:t>Transaction</w:t>
            </w:r>
            <w:r>
              <w:rPr/>
              <w:t>”). The Purchaser has performed its own legal, accounting and tax analysis and received such investment, financial, tax, legal and other advice as it deems appropriate under the circumstances, and has determined based on its own independent review and judgment and such professional advice as it deems appropriate that its purchase of the Securities and participation in the Transaction (i) are fully consistent with its financial needs, objectives and condition and risk tolerance, (ii) comply and are fully consistent with all investment policies, guidelines and other restrictions applicable to the Purchaser, (iii) has been duly authorized and approved by all necessary action, (iv) do not and will not violate or constitute a default under the Purchaser’s charter, by-laws or other constituent document or under any law, rule, regulation, agreement or other obligation by which its is bound and (v) are a fit, proper and suitable investment for the Purchaser, notwithstanding the substantial risks inherent in investing in or holding the Securities. The Purchaser understands that there may be certain consequences under United States and other tax laws resulting from an investment in the Securities and has made such investigation and have consulted its own independent advisors or otherwise have satisfied itself concerning, without limitation, the effects of United States federal, state and local tax laws and foreign tax laws generally and the U.S. Employee Retirement Income Security Act of 1974, the U.S. Investment Company Act of 1940 and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b/>
              </w:rPr>
            </w:pPr>
            <w:r>
              <w:rPr>
                <w:b/>
              </w:rPr>
              <w:t>(d)</w:t>
            </w:r>
          </w:p>
        </w:tc>
        <w:tc>
          <w:tcPr>
            <w:tcW w:w="9936" w:type="dxa"/>
            <w:tcBorders/>
            <w:vAlign w:val="center"/>
          </w:tcPr>
          <w:p>
            <w:pPr>
              <w:pStyle w:val="TableContents"/>
              <w:bidi w:val="0"/>
              <w:spacing w:before="0" w:after="283"/>
              <w:jc w:val="both"/>
              <w:rPr/>
            </w:pPr>
            <w:r>
              <w:rPr>
                <w:b/>
              </w:rPr>
              <w:t>Information and Sophistication</w:t>
            </w:r>
            <w:r>
              <w:rPr/>
              <w:t>. The Purchaser has received and had a chance to review the materials made available to it in connection with the Transaction and has access to (including through the EDGAR system) and has had an opportunity to review the Annual Reports on Form 10-K, Quarterly Reports on Form 10-Q, Current Reports on Form 8-K, Proxy Statements and other filings and submissions made by the Company with the SEC, including the “Risk Factors” contained therein. The Purchaser acknowledges, confirms and agrees that: (a) the Purchaser is a sophisticated institutional investor that is willing and able to conduct, and has conducted, a thorough investigation of the Securities, the Company and the business and financial position of the Company and its Subsidiaries (the “</w:t>
            </w:r>
            <w:r>
              <w:rPr>
                <w:b/>
                <w:i/>
              </w:rPr>
              <w:t>Company Business</w:t>
            </w:r>
            <w:r>
              <w:rPr/>
              <w:t>”), (b) no prospectus, offering document or other disclosure document has been or will be prepared in connection with the placement of the Securities and the transactions under the Note Documents, (c) the Purchaser has had the opportunity to ask questions of and receive answers and obtained such other information from the Company and their respective representatives directly and has or has requested access to, and has adequately analyzed and assessed (including by conducting and completing its own independent review and due diligence with respect to the Transaction) all information and documentation that it believes is necessary or appropriate in connection with its decision to enter into this Agreement and to purchase the Securities, including such information with respect to the Company and the Company Business, (d) neither the Company nor its representatives or advisors are responsible for any due diligence investigation on the Purchaser’s behalf, the advisability of purchasing the Securities or any information or document delivered in connection with this Agreement or the Notes (including, without limitation, with respect to the Company Business) other than the SEC Documents, (e) the Purchaser is not relying upon any representations, expressed or implied, with respect to the transactions contemplated by the Note Documents, except those expressly set forth in </w:t>
            </w:r>
            <w:r>
              <w:rPr>
                <w:u w:val="single"/>
              </w:rPr>
              <w:t>Section 2</w:t>
            </w:r>
            <w:r>
              <w:rPr/>
              <w:t> of this Agreement, (f) the Purchaser has consulted its own independent advisors with regard to, without limitation, the legal, regulatory, tax, business, investment, financial, accounting, currency and other economic considerations related to the purchase of the Securities and the risks associated with an investment in the Securities (including, without limitation, with respect to the Company Business), (g) the Purchaser has made its own investment, hedging and trading decisions based upon its own judgment and upon advice from its own independent advisors and not upon any view expressed by the other person, and (h) the Purchaser is purchasing the Securities with a full understanding of the terms, conditions and risks thereof including, but not limited to, counterparty risk, country risk, price risk and liquidity risk, and the Purchaser is capable of and willing to assume those risks. The Purchaser further represents that it is acting as principal in the purchase of the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b/>
              </w:rPr>
            </w:pPr>
            <w:r>
              <w:rPr>
                <w:b/>
              </w:rPr>
              <w:t>(e)</w:t>
            </w:r>
          </w:p>
        </w:tc>
        <w:tc>
          <w:tcPr>
            <w:tcW w:w="9959" w:type="dxa"/>
            <w:tcBorders/>
            <w:vAlign w:val="center"/>
          </w:tcPr>
          <w:p>
            <w:pPr>
              <w:pStyle w:val="TableContents"/>
              <w:bidi w:val="0"/>
              <w:spacing w:before="0" w:after="283"/>
              <w:jc w:val="both"/>
              <w:rPr/>
            </w:pPr>
            <w:r>
              <w:rPr>
                <w:b/>
              </w:rPr>
              <w:t>Ability to Bear Economic Risk</w:t>
            </w:r>
            <w:r>
              <w:rPr/>
              <w:t>. The Purchaser acknowledges that the Securities are illiquid and that (i) the Purchaser is able at this time and in the foreseeable future to bear the economic risk of a total loss of its investment in the Securities and is voluntarily assuming all risks associated with the purchase and holding of the Securities, (ii) the Purchaser may be required to hold the Securities indefinitely, (iii) the Purchaser has no need for liquidity with respect to the Securities, (iv) the Purchaser has no need to dispose of the Securities to satisfy any existing or contemplated undertaking or indebtedness, (v) a possibility of total loss exists, and (vi) there is no established market for the Notes and that no public market for the Notes may develop.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b/>
              </w:rPr>
            </w:pPr>
            <w:r>
              <w:rPr>
                <w:b/>
              </w:rPr>
              <w:t>(f)</w:t>
            </w:r>
          </w:p>
        </w:tc>
        <w:tc>
          <w:tcPr>
            <w:tcW w:w="9993" w:type="dxa"/>
            <w:tcBorders/>
            <w:vAlign w:val="center"/>
          </w:tcPr>
          <w:p>
            <w:pPr>
              <w:pStyle w:val="TableContents"/>
              <w:bidi w:val="0"/>
              <w:spacing w:before="0" w:after="283"/>
              <w:jc w:val="both"/>
              <w:rPr/>
            </w:pPr>
            <w:r>
              <w:rPr>
                <w:b/>
              </w:rPr>
              <w:t>Foreign Investors</w:t>
            </w:r>
            <w:r>
              <w:rPr/>
              <w:t>. If the Purchaser is not a United States person (as defined by Section 7701(a)(30) of the Internal Revenue Code of 1986, as amended (the “</w:t>
            </w:r>
            <w:r>
              <w:rPr>
                <w:b/>
                <w:i/>
              </w:rPr>
              <w:t>Code</w:t>
            </w:r>
            <w:r>
              <w:rPr/>
              <w:t>”), the Purchaser has satisfied itself as to the full observance of the laws of the Purchaser’s jurisdiction in connection with any invitation to subscribe for the Securities or any use of the Note, including (i) the legal requirements within the Purchaser’s jurisdiction for the purchase of the Securities, (ii) any foreign exchange restrictions applicable to such purchase, (iii) any governmental or other consents that may need to be obtained, and (iv) the income tax and other tax consequences, if any, that may be relevant to the purchase, holding, redemption, sale or transfer of the Securities. The Purchaser’s subscription, payment for and continued beneficial ownership of the Securities will not violate any applicable securities or other laws of the Purchaser’s jurisdiction. The Purchaser is not (to its knowledge after reasonable inquiry) a specified foreign entity, as defined in Section 7701(a)(51)(B) of the Code and any guidance published thereunder (including, for the avoidance of doubt, any foreign-controlled entity, as defined in Section 7701(a)(51)(C) of the Code and any guidance published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b/>
              </w:rPr>
            </w:pPr>
            <w:r>
              <w:rPr>
                <w:b/>
              </w:rPr>
              <w:t>(g)</w:t>
            </w:r>
          </w:p>
        </w:tc>
        <w:tc>
          <w:tcPr>
            <w:tcW w:w="9941" w:type="dxa"/>
            <w:tcBorders/>
            <w:vAlign w:val="center"/>
          </w:tcPr>
          <w:p>
            <w:pPr>
              <w:pStyle w:val="TableContents"/>
              <w:bidi w:val="0"/>
              <w:spacing w:before="0" w:after="283"/>
              <w:jc w:val="both"/>
              <w:rPr/>
            </w:pPr>
            <w:r>
              <w:rPr>
                <w:b/>
              </w:rPr>
              <w:t>Forward-Looking Statements</w:t>
            </w:r>
            <w:r>
              <w:rPr/>
              <w:t>. With respect to any forecasts, projections of results and other forward-looking statements and information provided to the Purchaser (including with respect to the Company Business), the Purchaser acknowledges (i) that such statements were prepared based upon assumptions determined to be reasonable by the Company at the time of preparation, and (ii) there is no assurance that such statements will prove accurate, and the Company has no obligation to update such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b/>
              </w:rPr>
            </w:pPr>
            <w:r>
              <w:rPr>
                <w:b/>
              </w:rPr>
              <w:t>(h)</w:t>
            </w:r>
          </w:p>
        </w:tc>
        <w:tc>
          <w:tcPr>
            <w:tcW w:w="9921" w:type="dxa"/>
            <w:tcBorders/>
            <w:vAlign w:val="center"/>
          </w:tcPr>
          <w:p>
            <w:pPr>
              <w:pStyle w:val="TableContents"/>
              <w:bidi w:val="0"/>
              <w:spacing w:before="0" w:after="283"/>
              <w:jc w:val="both"/>
              <w:rPr/>
            </w:pPr>
            <w:r>
              <w:rPr>
                <w:b/>
              </w:rPr>
              <w:t>Commissions</w:t>
            </w:r>
            <w:r>
              <w:rPr/>
              <w:t>. Except as disclosed to the Company in writing prior to the date hereof, no person will have, as a result of the transactions contemplated by the Note Documents, any valid right, interest or claim against the Company or upon the Purchaser for any commission, fee or other compensation pursuant to any agreement, arrangement or understanding entered into by or on behalf of the Purchaser.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b/>
              </w:rPr>
            </w:pPr>
            <w:r>
              <w:rPr>
                <w:b/>
              </w:rPr>
              <w:t>(i)</w:t>
            </w:r>
          </w:p>
        </w:tc>
        <w:tc>
          <w:tcPr>
            <w:tcW w:w="10009" w:type="dxa"/>
            <w:tcBorders/>
            <w:vAlign w:val="center"/>
          </w:tcPr>
          <w:p>
            <w:pPr>
              <w:pStyle w:val="TableContents"/>
              <w:bidi w:val="0"/>
              <w:spacing w:before="0" w:after="283"/>
              <w:jc w:val="both"/>
              <w:rPr/>
            </w:pPr>
            <w:r>
              <w:rPr>
                <w:b/>
              </w:rPr>
              <w:t>Non-Public Information</w:t>
            </w:r>
            <w:r>
              <w:rPr/>
              <w:t>. The Purchaser acknowledges that (i) the Company currently may have, and later may come into possession of, material, non-public information regarding the Company and its subsidiaries (financial or otherwise), including, but not limited to, results of operations, financial condition, business, properties, potential transactions or plans (including acquisition, divestiture, restructuring and other transactions or plans) and prospects that is not known to the Purchaser and that may be material to a decision to enter into this transaction to purchase the Securities (collectively, “</w:t>
            </w:r>
            <w:r>
              <w:rPr>
                <w:b/>
                <w:i/>
              </w:rPr>
              <w:t>Excluded Information</w:t>
            </w:r>
            <w:r>
              <w:rPr/>
              <w:t xml:space="preserve">”), which Excluded Information may (x) impact the value of the Securities being purchased and (y) be material to the Purchaser’s decision to enter into the Transaction, (ii) the Company has no duty to disclose to the Purchaser any of the Excluded Information, (iii) the Purchaser has determined to enter into the Transaction to purchase the Securities notwithstanding the Purchaser’s lack of knowledge of the Excluded Information, (iv) the Company shall have no liability to the Purchaser with respect to the disclosure or non-disclosure of any Excluded Information the Company may now have or of which the Company may later come into possession, and (v) the Purchaser, solely on behalf of itself and not on behalf of its accounts, hereby waives and releases any claims the Purchaser may have against the Company , to the maximum extent permitted by law, with respect to the non-disclosure of the Excluded Information.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b/>
              </w:rPr>
            </w:pPr>
            <w:r>
              <w:rPr>
                <w:b/>
              </w:rPr>
              <w:t>(j)</w:t>
            </w:r>
          </w:p>
        </w:tc>
        <w:tc>
          <w:tcPr>
            <w:tcW w:w="9986" w:type="dxa"/>
            <w:tcBorders/>
            <w:vAlign w:val="center"/>
          </w:tcPr>
          <w:p>
            <w:pPr>
              <w:pStyle w:val="TableContents"/>
              <w:bidi w:val="0"/>
              <w:spacing w:before="0" w:after="283"/>
              <w:jc w:val="both"/>
              <w:rPr/>
            </w:pPr>
            <w:r>
              <w:rPr>
                <w:b/>
              </w:rPr>
              <w:t>Reliance on Representations</w:t>
            </w:r>
            <w:r>
              <w:rPr/>
              <w:t>. The Purchaser acknowledges that the Company will rely upon the truth and accuracy of the foregoing acknowledgments, representations, warranties and agreements. The acknowledgments, representations, warranties and agreements shall be deemed to have been confirmed and repeated as of the Closing Date and the Purchaser agrees to promptly notify the Company if such acknowledgments, representations, warranties and agreements are no longer accurate on or prior to the Closing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Limitations on Disposition; Legends; Securities Law Disclosure; Publicity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b/>
              </w:rPr>
            </w:pPr>
            <w:r>
              <w:rPr>
                <w:b/>
              </w:rPr>
              <w:t>(a)</w:t>
            </w:r>
          </w:p>
        </w:tc>
        <w:tc>
          <w:tcPr>
            <w:tcW w:w="9909" w:type="dxa"/>
            <w:tcBorders/>
            <w:vAlign w:val="center"/>
          </w:tcPr>
          <w:p>
            <w:pPr>
              <w:pStyle w:val="TableContents"/>
              <w:bidi w:val="0"/>
              <w:spacing w:before="0" w:after="283"/>
              <w:jc w:val="both"/>
              <w:rPr/>
            </w:pPr>
            <w:r>
              <w:rPr>
                <w:b/>
              </w:rPr>
              <w:t>Limitations on Disposition</w:t>
            </w:r>
            <w:r>
              <w:rPr/>
              <w:t>. The Securities may only be disposed of in compliance with state and federal securities laws and the applicable provisions of the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b/>
              </w:rPr>
            </w:pPr>
            <w:r>
              <w:rPr>
                <w:b/>
              </w:rPr>
              <w:t>(b)</w:t>
            </w:r>
          </w:p>
        </w:tc>
        <w:tc>
          <w:tcPr>
            <w:tcW w:w="9876" w:type="dxa"/>
            <w:tcBorders/>
            <w:vAlign w:val="center"/>
          </w:tcPr>
          <w:p>
            <w:pPr>
              <w:pStyle w:val="TableContents"/>
              <w:bidi w:val="0"/>
              <w:spacing w:before="0" w:after="283"/>
              <w:jc w:val="both"/>
              <w:rPr/>
            </w:pPr>
            <w:r>
              <w:rPr>
                <w:b/>
              </w:rPr>
              <w:t>Legends</w:t>
            </w:r>
            <w:r>
              <w:rPr/>
              <w:t>. The Purchaser agrees to the imprinting of a legend on any of the Securities in the forms set forth in the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b/>
              </w:rPr>
            </w:pPr>
            <w:r>
              <w:rPr>
                <w:b/>
              </w:rPr>
              <w:t>(c)</w:t>
            </w:r>
          </w:p>
        </w:tc>
        <w:tc>
          <w:tcPr>
            <w:tcW w:w="9966" w:type="dxa"/>
            <w:tcBorders/>
            <w:vAlign w:val="center"/>
          </w:tcPr>
          <w:p>
            <w:pPr>
              <w:pStyle w:val="TableContents"/>
              <w:bidi w:val="0"/>
              <w:spacing w:before="0" w:after="283"/>
              <w:jc w:val="both"/>
              <w:rPr/>
            </w:pPr>
            <w:r>
              <w:rPr>
                <w:b/>
              </w:rPr>
              <w:t>Securities Law Disclosure; Publicity</w:t>
            </w:r>
            <w:r>
              <w:rPr/>
              <w:t>. No later than 9:00 a.m. (New York City time) on the trading day immediately following the date of this Agreement (provided that, if this Agreement is executed between midnight and 9:00 a.m., New York City time on any Business Day, no later than 9:01 a.m. on the date hereof) (such date and time, the “</w:t>
            </w:r>
            <w:r>
              <w:rPr>
                <w:b/>
                <w:i/>
              </w:rPr>
              <w:t>Release Time</w:t>
            </w:r>
            <w:r>
              <w:rPr/>
              <w:t>”), the Company shall publicly disclose, via press release or Current Report on Form 8-K filed (the “</w:t>
            </w:r>
            <w:r>
              <w:rPr>
                <w:b/>
                <w:i/>
              </w:rPr>
              <w:t>Disclosure Document</w:t>
            </w:r>
            <w:r>
              <w:rPr/>
              <w:t>”) with the SEC, (i) all material non-public information that was delivered to the Purchaser by the Company, its advisors or any person acting on behalf of the Company in connection with the transactions contemplated by the Note Purchase Agreements and (ii) all other material non-public information concerning the Company disclosed to the Purchaser. Following the earlier of (i) the Release Time and (ii) the issuance or filing, as applicable, of the Disclosure Document, neither the Purchaser nor any of its accounts or any of their respective affiliates shall be in possession of any material non-public information concerning the Company disclosed to the Purchaser by the Company or its subsidiaries or any of their respective representatives, officers, directors, or employees or agents. Upon the earlier of (i) the Release Time and (ii) the issuance or filing, as applicable, of the Disclosure Document, neither the Purchaser nor any of its accounts or any of their respective affiliates shall be subject to any confidentiality or similar obligations under any agreement, whether written or oral, with the Company or any of its officers, directors, affiliates, employees or agents. From and after the earlier of the (i) Release Time or (ii) the issuance or filing, as applicable, of the Disclosure Document, the Company shall not provide material non-public information to the Purchaser or any of its accounts or any of their respective affiliates, unless otherwise specifically agreed in writing by the Purchaser prior to any such disclosure. The Company understands and acknowledges that the Purchaser and persons acting on its behalf will rely on the representations, warranties and covenants in this </w:t>
            </w:r>
            <w:r>
              <w:rPr>
                <w:u w:val="single"/>
              </w:rPr>
              <w:t>Section 4(c)</w:t>
            </w:r>
            <w:r>
              <w:rPr/>
              <w:t> in effecting transactions in the securities of the Company and of other persons. Without the prior written consent of the Purchaser (unless such disclosure is required by applicable law, rule, regulation or legal process based on advice of counsel), the Company shall not disclose (i) the name of the Purchaser in any filing or announcement or (ii) any information regarding the Purchaser’s holdings of securities of the Company or transactions in any securities of the Company at one of its prime brokers to any of the Purchaser’s other prime brokers or to any other person (other than the Company’s counsel, agents or representatives).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295"/>
        <w:gridCol w:w="8749"/>
      </w:tblGrid>
      <w:tr>
        <w:trPr/>
        <w:tc>
          <w:tcPr>
            <w:tcW w:w="16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b/>
              </w:rPr>
            </w:pPr>
            <w:r>
              <w:rPr>
                <w:b/>
              </w:rPr>
              <w:t>(d)</w:t>
            </w:r>
          </w:p>
        </w:tc>
        <w:tc>
          <w:tcPr>
            <w:tcW w:w="8749" w:type="dxa"/>
            <w:tcBorders/>
            <w:vAlign w:val="center"/>
          </w:tcPr>
          <w:p>
            <w:pPr>
              <w:pStyle w:val="TableContents"/>
              <w:bidi w:val="0"/>
              <w:spacing w:before="0" w:after="283"/>
              <w:jc w:val="both"/>
              <w:rPr/>
            </w:pPr>
            <w:r>
              <w:rPr>
                <w:b/>
              </w:rPr>
              <w:t>Registration Rights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Company agrees that as soon as practicable but in no event later than thirty (30) calendar days following the Closing Date (the “</w:t>
      </w:r>
      <w:r>
        <w:rPr>
          <w:rFonts w:ascii="Times New Roman;Times;Serif" w:hAnsi="Times New Roman;Times;Serif"/>
          <w:b/>
          <w:i/>
          <w:caps w:val="false"/>
          <w:smallCaps w:val="false"/>
          <w:sz w:val="20"/>
        </w:rPr>
        <w:t>Filing Date</w:t>
      </w:r>
      <w:r>
        <w:rPr>
          <w:rFonts w:ascii="Times New Roman;Times;Serif" w:hAnsi="Times New Roman;Times;Serif"/>
          <w:b w:val="false"/>
          <w:i w:val="false"/>
          <w:caps w:val="false"/>
          <w:smallCaps w:val="false"/>
          <w:sz w:val="20"/>
        </w:rPr>
        <w:t>”), the Company will file with the SEC under the Securities Act, at the Company’s sole cost and expense, a registration statement, or a prospectus supplement to the prospectus included in an existing registration statement, covering the resale by the Purchaser of the maximum number of shares of Common Stock issuable upon conversion of all Notes purchased by the Purchaser (such shares of Common Stock issuable upon the conversion of such Notes, the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and such registration statement or prospectus supplement, collectively,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Company’s obligations to include the Registrable Securities in the Registration Statement are contingent upon the Purchaser furnishing a completed and executed selling securityholder questionnaire in customary form to the Company that contains the information regarding the Purchaser, the securities of the Company held by the Purchaser and the intended method of disposition of the Registrable Securities (which shall be limited to non-underwritten public offerings) required by SEC rules for inclusion in the Registration Statement to effect the registration of the Registrable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neither the Purchaser nor any of its affiliates shall in connection with the foregoing be required to execute any lock-up or similar agreement or otherwise be subject to contractual restriction on the ability transfer the Registrable Securities. For purposes of clarification, any failure by the Company to file the Registration Statement by the Filing Date shall not otherwise relieve the Company of its obligations to file the Registration Statement as set forth above in this section. Notwithstanding the foregoing, if the SEC prevents the Company from including any or all of the shares of Common Stock proposed to be registered under the Registration Statement due to limitations on the use of Rule 415 of the Securities Act for the resale of the Common Stock by the applicable securityholder or otherwise, such Registration Statement shall register for resale such number of shares of Common Stock which is equal to the maximum number of shares of Common Stock as is permitted by the SEC. In such event, the number of shares of Common Stock to be registered for each selling securityholder named in the Registration Statement shall be reduced pro rata among all such selling securityholders. The Company will provide a draft of the Registration Statement to the Purchaser for review at least two (2) Business Days in advance of filing the Registration Statement. Unless required under applicable laws and SEC rules, in no event shall the Purchaser be identified as a statutory underwriter in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if the Purchaser is required to be so identified as a statutory underwriter in the Registration Statement, the Purchaser will have an opportunity to withdraw its Registrable Securities from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Company shall use its commercially reasonable efforts to keep such registration, and any qualification, exemption or compliance under state securities laws which the Company determines to obtain, continuously effective with respect to the Purchaser, and to keep the applicable Registration Statement or any subsequent shelf registration statement free of any material misstatements or omissions, until the earlier of the following: (i) the Purchaser ceases to hold any Registrable Securities and (ii) the date all Registrable Securities held by the Purchaser may be sold without restriction under Rule 144, including without limitation, any volume and manner of sale restrictions which may be applicable to affiliates under Rule 144 and without the requirement for the Company to be in compliance with the current public information required under Rule 144(c)(1) (or Rule 144(i)(2), if applicable).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Notwithstanding anything herein to the contrary, the Company may suspend the use of any prospectus (a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xml:space="preserve">”) included in any Registration Statement contemplated by this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xml:space="preserve"> in the event that the Company’s Board of Directors determines in good faith that such suspension is necessary to (A) delay the disclosure of material non-public information concerning the Company, the disclosure of which at the time is not, in the good faith opinion of the Company’s Board of Directors,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Times;Serif" w:hAnsi="Times New Roman;Times;Serif"/>
          <w:b/>
          <w:i/>
          <w:caps w:val="false"/>
          <w:smallCaps w:val="false"/>
          <w:sz w:val="20"/>
        </w:rPr>
        <w:t>Allowed Registration Delay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shall promptly (a) notify the Purchaser in writing of the commencement of and the reasons for an Allowed Registration Delay, but shall not (without the prior written consent of the Purchaser) disclose to the Purchaser any material non-public information giving rise to an Allowed Registration Delay, (b) advise the Purchaser in writing to cease all sales under the Registration Statement until the end of the Allowed Registration Delay and (c) use commercially reasonable efforts to terminate an Allowed Registration Delay as promptly as practicable. If the Company has a bona fide business purpose for suspending the use of a Prospectus pursuant to an Allowed Registration Delay, the Company may suspend the use of a Prospectus for up to 60 consecutive calendar days; provided, further, that the Company may not suspend the use of a Prospectus more than twice, or for more than 90 total calendar days, in each case during any twelve-month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To the fullest extent permitted by law, the Company will, and hereby does, indemnify, hold harmless and defend the Purchaser, each person, if any, who controls the Purchaser, the members, the directors, officers, partners, employees, members, managers, agents, representatives and advisors of the Purchaser and each person, if any, who controls any of the foregoing within the meaning of the Securities Act or the Exchange Act (each, an “</w:t>
      </w:r>
      <w:r>
        <w:rPr>
          <w:rFonts w:ascii="Times New Roman;Times;Serif" w:hAnsi="Times New Roman;Times;Serif"/>
          <w:b/>
          <w:i/>
          <w:caps w:val="false"/>
          <w:smallCaps w:val="false"/>
          <w:sz w:val="20"/>
        </w:rPr>
        <w:t>Indemnified Person</w:t>
      </w:r>
      <w:r>
        <w:rPr>
          <w:rFonts w:ascii="Times New Roman;Times;Serif" w:hAnsi="Times New Roman;Times;Serif"/>
          <w:b w:val="false"/>
          <w:i w:val="false"/>
          <w:caps w:val="false"/>
          <w:smallCaps w:val="false"/>
          <w:sz w:val="20"/>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other than information provided to the Company by the Purchaser for inclusion in such Registration Statement, preliminary prospectus or final prospectus, or any such amendment or supplement thereof, other than information provided to the Company by the Purchaser in writing for inclusion in such Registration Statement, preliminary prospectus or final prospectus, or any such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Company shall reimburse each Indemnified Person promptly as such expenses are incurred and are due and payable, for any reasonable out-of-pocket legal fees or other reasonable and documented expenses incurred by them in connection with investigating or defending any such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b/>
              </w:rPr>
            </w:pPr>
            <w:r>
              <w:rPr>
                <w:b/>
              </w:rPr>
              <w:t>(a)</w:t>
            </w:r>
          </w:p>
        </w:tc>
        <w:tc>
          <w:tcPr>
            <w:tcW w:w="9941" w:type="dxa"/>
            <w:tcBorders/>
            <w:vAlign w:val="center"/>
          </w:tcPr>
          <w:p>
            <w:pPr>
              <w:pStyle w:val="TableContents"/>
              <w:bidi w:val="0"/>
              <w:spacing w:before="0" w:after="283"/>
              <w:jc w:val="both"/>
              <w:rPr/>
            </w:pPr>
            <w:r>
              <w:rPr>
                <w:b/>
              </w:rPr>
              <w:t>Binding Agreement</w:t>
            </w:r>
            <w:r>
              <w:rPr/>
              <w:t>. The terms and conditions of this Agreement shall inure to the benefit of and be binding upon the respective successors and assigns of the parties. No party to this Agreement may assign this Agreement or its rights or obligations hereunder without the prior written consent of the other party hereto. Nothing in this Agreement, expressed or implied, is intended to confer upon any third party any rights, remedies, obligations, or liabilities under or by reason of this Agreement, and as otherwise expressly provided in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725"/>
        <w:gridCol w:w="9390"/>
      </w:tblGrid>
      <w:tr>
        <w:trPr/>
        <w:tc>
          <w:tcPr>
            <w:tcW w:w="9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(b)</w:t>
            </w:r>
          </w:p>
        </w:tc>
        <w:tc>
          <w:tcPr>
            <w:tcW w:w="9390" w:type="dxa"/>
            <w:tcBorders/>
            <w:vAlign w:val="center"/>
          </w:tcPr>
          <w:p>
            <w:pPr>
              <w:pStyle w:val="TableContents"/>
              <w:bidi w:val="0"/>
              <w:spacing w:before="0" w:after="283"/>
              <w:jc w:val="both"/>
              <w:rPr/>
            </w:pPr>
            <w:r>
              <w:rPr>
                <w:b/>
              </w:rPr>
              <w:t>Governing Law; Waiver of Jury Trial</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This Agreement and any claim, controversy or dispute arising under or related to this Agreement shall be governed by, and construed in accordance with, the laws of the State of New York.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EACH OF THE COMPANY AND THE PURCHASER, SOLELY ON BEHALF OF ITSELF, HEREBY IRREVOCABLY WAIVES, TO THE FULLEST EXTENT PERMITTED BY APPLICABLE LAW, ANY AND ALL RIGHT TO TRIAL BY JURY IN ANY LEGAL PROCEEDING ARISING OUT OF OR RELATING TO THIS THIS AGREEMENT, THE OTHER NOTE DOCUMENTS OR THE TRANSACTIONS CONTEMPLATED THIS AGREEMENT OR THE OTHER NOTE DOCUMENTS.</w:t>
      </w:r>
    </w:p>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b/>
              </w:rPr>
            </w:pPr>
            <w:r>
              <w:rPr>
                <w:b/>
              </w:rPr>
              <w:t>(c)</w:t>
            </w:r>
          </w:p>
        </w:tc>
        <w:tc>
          <w:tcPr>
            <w:tcW w:w="9955" w:type="dxa"/>
            <w:tcBorders/>
            <w:vAlign w:val="center"/>
          </w:tcPr>
          <w:p>
            <w:pPr>
              <w:pStyle w:val="TableContents"/>
              <w:bidi w:val="0"/>
              <w:spacing w:before="0" w:after="283"/>
              <w:jc w:val="both"/>
              <w:rPr/>
            </w:pPr>
            <w:r>
              <w:rPr>
                <w:b/>
              </w:rPr>
              <w:t>Counterparts</w:t>
            </w:r>
            <w:r>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 </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b/>
              </w:rPr>
            </w:pPr>
            <w:r>
              <w:rPr>
                <w:b/>
              </w:rPr>
              <w:t>(d)</w:t>
            </w:r>
          </w:p>
        </w:tc>
        <w:tc>
          <w:tcPr>
            <w:tcW w:w="9895" w:type="dxa"/>
            <w:tcBorders/>
            <w:vAlign w:val="center"/>
          </w:tcPr>
          <w:p>
            <w:pPr>
              <w:pStyle w:val="TableContents"/>
              <w:bidi w:val="0"/>
              <w:spacing w:before="0" w:after="283"/>
              <w:jc w:val="both"/>
              <w:rPr/>
            </w:pPr>
            <w:r>
              <w:rPr>
                <w:b/>
              </w:rPr>
              <w:t>Titles and Subtitles</w:t>
            </w:r>
            <w:r>
              <w:rPr/>
              <w:t>. The titles and subtitles used in this Agreement are used for convenience only and are not to be considered in construing or interpreting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b/>
              </w:rPr>
            </w:pPr>
            <w:r>
              <w:rPr>
                <w:b/>
              </w:rPr>
              <w:t>(e)</w:t>
            </w:r>
          </w:p>
        </w:tc>
        <w:tc>
          <w:tcPr>
            <w:tcW w:w="9962" w:type="dxa"/>
            <w:tcBorders/>
            <w:vAlign w:val="center"/>
          </w:tcPr>
          <w:p>
            <w:pPr>
              <w:pStyle w:val="TableContents"/>
              <w:bidi w:val="0"/>
              <w:spacing w:before="0" w:after="283"/>
              <w:jc w:val="both"/>
              <w:rPr/>
            </w:pPr>
            <w:r>
              <w:rPr>
                <w:b/>
              </w:rPr>
              <w:t>Notices</w:t>
            </w:r>
            <w:r>
              <w:rPr/>
              <w:t>. All notices required or permitted under this Agreement or the Note shall be in writing and shall be deemed effectively given (i) upon personal delivery to the party to be notified, (ii) when sent by confirmed electronic mail or facsimile if sent during normal business hours of the recipient, if not,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to a party shall be sent to the party’s address set forth on the signature page or at such other address(es) as such party may designate by 10 days’ advance written notice to the other party hereto. A copy of any notice to the Company shall be sent to Skadden, Arps, Slate, Meagher &amp; Flom LLP, 845 Texas Avenue, Suite 2300, Houston, Texas 77002, Attn: Michael Hamilton, e-mail: [* * *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b/>
              </w:rPr>
            </w:pPr>
            <w:r>
              <w:rPr>
                <w:b/>
              </w:rPr>
              <w:t>(f)</w:t>
            </w:r>
          </w:p>
        </w:tc>
        <w:tc>
          <w:tcPr>
            <w:tcW w:w="9963" w:type="dxa"/>
            <w:tcBorders/>
            <w:vAlign w:val="center"/>
          </w:tcPr>
          <w:p>
            <w:pPr>
              <w:pStyle w:val="TableContents"/>
              <w:bidi w:val="0"/>
              <w:spacing w:before="0" w:after="283"/>
              <w:jc w:val="both"/>
              <w:rPr/>
            </w:pPr>
            <w:r>
              <w:rPr>
                <w:b/>
              </w:rPr>
              <w:t>Modification; Waiver; Amendment</w:t>
            </w:r>
            <w:r>
              <w:rPr/>
              <w:t>. No modification or waiver of any provision of this Agreement or consent to departure therefrom shall be effective unless in writing by the Company and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b/>
              </w:rPr>
            </w:pPr>
            <w:r>
              <w:rPr>
                <w:b/>
              </w:rPr>
              <w:t>(g)</w:t>
            </w:r>
          </w:p>
        </w:tc>
        <w:tc>
          <w:tcPr>
            <w:tcW w:w="9937" w:type="dxa"/>
            <w:tcBorders/>
            <w:vAlign w:val="center"/>
          </w:tcPr>
          <w:p>
            <w:pPr>
              <w:pStyle w:val="TableContents"/>
              <w:bidi w:val="0"/>
              <w:spacing w:before="0" w:after="283"/>
              <w:jc w:val="both"/>
              <w:rPr/>
            </w:pPr>
            <w:r>
              <w:rPr>
                <w:b/>
              </w:rPr>
              <w:t>Further Assurances</w:t>
            </w:r>
            <w:r>
              <w:rPr/>
              <w:t>. Each party hereto agrees and covenants that at any time and from time to time it will promptly execute and deliver to the other party hereto such further instruments and documents and take such further action as such other party may reasonably require in order to carry out the full intent and purpose of this Agreement and to comply with state or federal securities laws or other regulatory approvals.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b/>
              </w:rPr>
            </w:pPr>
            <w:r>
              <w:rPr>
                <w:b/>
              </w:rPr>
              <w:t>(h)</w:t>
            </w:r>
          </w:p>
        </w:tc>
        <w:tc>
          <w:tcPr>
            <w:tcW w:w="9906" w:type="dxa"/>
            <w:tcBorders/>
            <w:vAlign w:val="center"/>
          </w:tcPr>
          <w:p>
            <w:pPr>
              <w:pStyle w:val="TableContents"/>
              <w:bidi w:val="0"/>
              <w:spacing w:before="0" w:after="283"/>
              <w:jc w:val="both"/>
              <w:rPr/>
            </w:pPr>
            <w:r>
              <w:rPr>
                <w:b/>
              </w:rPr>
              <w:t>Expenses</w:t>
            </w:r>
            <w:r>
              <w:rPr/>
              <w:t>. The Company and the Purchaser shall each bear its respective expenses and legal fees incurred with respect to this Agreement, the Indenture, the Securities and the transactions contemplated hereby and thereby.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b/>
              </w:rPr>
            </w:pPr>
            <w:r>
              <w:rPr>
                <w:b/>
              </w:rPr>
              <w:t>(i)</w:t>
            </w:r>
          </w:p>
        </w:tc>
        <w:tc>
          <w:tcPr>
            <w:tcW w:w="10007" w:type="dxa"/>
            <w:tcBorders/>
            <w:vAlign w:val="center"/>
          </w:tcPr>
          <w:p>
            <w:pPr>
              <w:pStyle w:val="TableContents"/>
              <w:bidi w:val="0"/>
              <w:spacing w:before="0" w:after="283"/>
              <w:jc w:val="both"/>
              <w:rPr/>
            </w:pPr>
            <w:r>
              <w:rPr>
                <w:b/>
              </w:rPr>
              <w:t>Delays or Omissions</w:t>
            </w:r>
            <w:r>
              <w:rPr/>
              <w:t xml:space="preserve">. It is agreed that no delay or omission to exercise any right, power or remedy accruing to the Purchaser, upon any breach or default of the Company under this Agreement, the Indenture, the Securities shall impair any such right, power or remedy,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 It is further agreed that any waiver, permit, consent or approval of any kind or character by Purchaser of any breach or default under this Agreement, the Indenture or any Securities, or any waiver by the Purchaser of any provisions or conditions of this Agreement, the Indenture, the Securities must be in writing and shall be effective only to the extent specifically set forth in writing and that all remedies, either under this Agreement, the Indenture, the Securities, or by law or otherwise afforded to the Purchaser, shall be cumulative and not alternative.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b/>
              </w:rPr>
            </w:pPr>
            <w:r>
              <w:rPr>
                <w:b/>
              </w:rPr>
              <w:t>(j)</w:t>
            </w:r>
          </w:p>
        </w:tc>
        <w:tc>
          <w:tcPr>
            <w:tcW w:w="9978" w:type="dxa"/>
            <w:tcBorders/>
            <w:vAlign w:val="center"/>
          </w:tcPr>
          <w:p>
            <w:pPr>
              <w:pStyle w:val="TableContents"/>
              <w:bidi w:val="0"/>
              <w:spacing w:before="0" w:after="283"/>
              <w:jc w:val="both"/>
              <w:rPr/>
            </w:pPr>
            <w:r>
              <w:rPr>
                <w:b/>
              </w:rPr>
              <w:t>Entire Agreement</w:t>
            </w:r>
            <w:r>
              <w:rPr/>
              <w:t>. This Agreement and the other Note Documents constitute the full and entire understanding and agreement between the parties with regard to the subjects hereof and no party shall be liable or bound to any other party in any manner by any representations, warranties, covenants and agreements except as specifically set forth 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b/>
              </w:rPr>
            </w:pPr>
            <w:r>
              <w:rPr>
                <w:b/>
              </w:rPr>
              <w:t>(k)</w:t>
            </w:r>
          </w:p>
        </w:tc>
        <w:tc>
          <w:tcPr>
            <w:tcW w:w="9933" w:type="dxa"/>
            <w:tcBorders/>
            <w:vAlign w:val="center"/>
          </w:tcPr>
          <w:p>
            <w:pPr>
              <w:pStyle w:val="TableContents"/>
              <w:bidi w:val="0"/>
              <w:spacing w:before="0" w:after="283"/>
              <w:jc w:val="both"/>
              <w:rPr/>
            </w:pPr>
            <w:r>
              <w:rPr>
                <w:b/>
              </w:rPr>
              <w:t>Waiver of Conflicts</w:t>
            </w:r>
            <w:r>
              <w:rPr/>
              <w:t>. Each party to this Agreement acknowledges that Skadden, Arps, Slate, Meagher &amp; Flom LLP (“</w:t>
            </w:r>
            <w:r>
              <w:rPr>
                <w:b/>
                <w:i/>
              </w:rPr>
              <w:t>Skadden</w:t>
            </w:r>
            <w:r>
              <w:rPr/>
              <w:t>”) has acted as counsel solely to the Company with respect to this Agreement, the Note Documents and the Transactions contemplated hereby and thereby, and has negotiated the terms of the Transactions solely on behalf of the Company. Skadden may have, in the past, represented and/or may, now or in the future, represent the Purchaser and/or its affiliates in other matters, including matters that are similar, but not substantially related, to the Transactions. The applicable rules of professional conduct require that Skadden inform its clients of these representations and obtain their waivers of the conflicts that may arise from such representations. Each of the Company and the Purchaser (solely on behalf of itself) hereby (i) acknowledges that such party has been advised about such circumstances and has had an opportunity to ask for additional information, (ii) acknowledges that, with respect to the Transactions, Skadden has represented solely the Company and no other party, and (iii) gives its informed consent to Skadden’s representation of the Company in the Transactions and Skadden’s representation of the Purchaser and/or its affiliates in other matters.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b/>
              </w:rPr>
            </w:pPr>
            <w:r>
              <w:rPr>
                <w:b/>
              </w:rPr>
              <w:t>(l)</w:t>
            </w:r>
          </w:p>
        </w:tc>
        <w:tc>
          <w:tcPr>
            <w:tcW w:w="9965" w:type="dxa"/>
            <w:tcBorders/>
            <w:vAlign w:val="center"/>
          </w:tcPr>
          <w:p>
            <w:pPr>
              <w:pStyle w:val="TableContents"/>
              <w:bidi w:val="0"/>
              <w:spacing w:before="0" w:after="283"/>
              <w:jc w:val="both"/>
              <w:rPr/>
            </w:pPr>
            <w:r>
              <w:rPr>
                <w:b/>
              </w:rPr>
              <w:t>Survival</w:t>
            </w:r>
            <w:r>
              <w:rPr/>
              <w:t xml:space="preserve">. The representations, warranties and covenants of the Company and the Purchaser contained herein and this </w:t>
            </w:r>
            <w:r>
              <w:rPr>
                <w:u w:val="single"/>
              </w:rPr>
              <w:t>Section 5</w:t>
            </w:r>
            <w:r>
              <w:rPr/>
              <w:t xml:space="preserve"> shall survive the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(m)</w:t>
            </w:r>
          </w:p>
        </w:tc>
        <w:tc>
          <w:tcPr>
            <w:tcW w:w="9874" w:type="dxa"/>
            <w:tcBorders/>
            <w:vAlign w:val="center"/>
          </w:tcPr>
          <w:p>
            <w:pPr>
              <w:pStyle w:val="TableContents"/>
              <w:bidi w:val="0"/>
              <w:spacing w:before="0" w:after="283"/>
              <w:jc w:val="both"/>
              <w:rPr/>
            </w:pPr>
            <w:r>
              <w:rPr/>
              <w:t>Several Obligations</w:t>
            </w:r>
            <w:r>
              <w:rPr>
                <w:b w:val="false"/>
              </w:rPr>
              <w:t>. The obligations, representations and warranties of each fund listed on Schedule A comprising of the Purchaser are several and not joint, and each such fund shall be responsible only for its own obligations, representations and warranties and for the principal amount of Notes and portion of the Purchase Price set forth opposite its name on Schedule 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pages follow</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executed this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1834" w:type="dxa"/>
        <w:jc w:val="left"/>
        <w:tblInd w:w="0" w:type="dxa"/>
        <w:tblLayout w:type="fixed"/>
        <w:tblCellMar>
          <w:top w:w="0" w:type="dxa"/>
          <w:left w:w="0" w:type="dxa"/>
          <w:bottom w:w="0" w:type="dxa"/>
          <w:right w:w="0" w:type="dxa"/>
        </w:tblCellMar>
      </w:tblPr>
      <w:tblGrid>
        <w:gridCol w:w="75"/>
        <w:gridCol w:w="826"/>
        <w:gridCol w:w="933"/>
      </w:tblGrid>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b/>
                <w:sz w:val="20"/>
              </w:rPr>
            </w:pPr>
            <w:r>
              <w:rPr>
                <w:b/>
                <w:sz w:val="20"/>
              </w:rPr>
              <w:t>Company:</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b/>
                <w:sz w:val="20"/>
              </w:rPr>
            </w:pPr>
            <w:r>
              <w:rPr>
                <w:b/>
                <w:sz w:val="20"/>
              </w:rPr>
              <w:t>T1 Energy Inc.</w:t>
            </w:r>
          </w:p>
        </w:tc>
      </w:tr>
      <w:tr>
        <w:trPr/>
        <w:tc>
          <w:tcPr>
            <w:tcW w:w="75"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sz w:val="20"/>
              </w:rPr>
            </w:pPr>
            <w:r>
              <w:rPr>
                <w:sz w:val="20"/>
              </w:rPr>
              <w:t>By:</w:t>
            </w:r>
          </w:p>
        </w:tc>
        <w:tc>
          <w:tcPr>
            <w:tcW w:w="93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sz w:val="20"/>
              </w:rPr>
            </w:pPr>
            <w:r>
              <w:rPr>
                <w:sz w:val="20"/>
              </w:rPr>
              <w:t>Name:</w:t>
            </w:r>
          </w:p>
        </w:tc>
        <w:tc>
          <w:tcPr>
            <w:tcW w:w="9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sz w:val="20"/>
              </w:rPr>
            </w:pPr>
            <w:r>
              <w:rPr>
                <w:sz w:val="20"/>
              </w:rPr>
              <w:t>Title:</w:t>
            </w:r>
          </w:p>
        </w:tc>
        <w:tc>
          <w:tcPr>
            <w:tcW w:w="9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sz w:val="20"/>
              </w:rPr>
            </w:pPr>
            <w:r>
              <w:rPr>
                <w:sz w:val="20"/>
              </w:rPr>
              <w:t>Notice Address:</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sz w:val="20"/>
              </w:rPr>
            </w:pPr>
            <w:r>
              <w:rPr>
                <w:sz w:val="20"/>
              </w:rPr>
              <w:t>1211 E 4th St.  </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sz w:val="20"/>
              </w:rPr>
            </w:pPr>
            <w:r>
              <w:rPr>
                <w:sz w:val="20"/>
              </w:rPr>
              <w:t xml:space="preserve">Austin, Texas 78702 </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sz w:val="20"/>
              </w:rPr>
            </w:pPr>
            <w:r>
              <w:rPr>
                <w:sz w:val="20"/>
              </w:rPr>
              <w:t xml:space="preserve">Attn: [* * * *] </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sz w:val="20"/>
              </w:rPr>
            </w:pPr>
            <w:r>
              <w:rPr>
                <w:sz w:val="20"/>
              </w:rPr>
              <w:t xml:space="preserve">Email: [* * * *]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Note Purchase Agreement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executed this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1699" w:type="dxa"/>
        <w:jc w:val="left"/>
        <w:tblInd w:w="0" w:type="dxa"/>
        <w:tblLayout w:type="fixed"/>
        <w:tblCellMar>
          <w:top w:w="0" w:type="dxa"/>
          <w:left w:w="0" w:type="dxa"/>
          <w:bottom w:w="0" w:type="dxa"/>
          <w:right w:w="0" w:type="dxa"/>
        </w:tblCellMar>
      </w:tblPr>
      <w:tblGrid>
        <w:gridCol w:w="75"/>
        <w:gridCol w:w="539"/>
        <w:gridCol w:w="1085"/>
      </w:tblGrid>
      <w:tr>
        <w:trPr/>
        <w:tc>
          <w:tcPr>
            <w:tcW w:w="75"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left"/>
              <w:rPr>
                <w:b/>
                <w:sz w:val="20"/>
              </w:rPr>
            </w:pPr>
            <w:r>
              <w:rPr>
                <w:b/>
                <w:sz w:val="20"/>
              </w:rPr>
              <w:t>Purchaser:</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left"/>
              <w:rPr>
                <w:sz w:val="20"/>
              </w:rPr>
            </w:pPr>
            <w:r>
              <w:rPr>
                <w:sz w:val="20"/>
              </w:rPr>
              <w:t>[______________]</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sz w:val="20"/>
              </w:rPr>
            </w:pPr>
            <w:r>
              <w:rPr>
                <w:sz w:val="20"/>
              </w:rPr>
              <w:t>By:</w:t>
            </w:r>
          </w:p>
        </w:tc>
        <w:tc>
          <w:tcPr>
            <w:tcW w:w="108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sz w:val="20"/>
              </w:rPr>
            </w:pPr>
            <w:r>
              <w:rPr>
                <w:sz w:val="20"/>
              </w:rPr>
              <w:t>Name</w:t>
            </w:r>
          </w:p>
        </w:tc>
        <w:tc>
          <w:tcPr>
            <w:tcW w:w="10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sz w:val="20"/>
              </w:rPr>
            </w:pPr>
            <w:r>
              <w:rPr>
                <w:sz w:val="20"/>
              </w:rPr>
              <w:t>Title:</w:t>
            </w:r>
          </w:p>
        </w:tc>
        <w:tc>
          <w:tcPr>
            <w:tcW w:w="108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Note Purchase Agreement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92243/000121390026084067/ea029986701ex4-1.htm" TargetMode="External"/><Relationship Id="rId3" Type="http://schemas.openxmlformats.org/officeDocument/2006/relationships/hyperlink" Target="http://www.sec.gov/Archives/edgar/data/1992243/000121390026084067/ea029986701ex4-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10527</Words>
  <Characters>56225</Characters>
  <CharactersWithSpaces>66784</CharactersWithSpaces>
  <Paragraphs>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