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540385</wp:posOffset>
            </wp:positionV>
            <wp:extent cx="7129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978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499110</wp:posOffset>
            </wp:positionV>
            <wp:extent cx="712978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9780" cy="16510"/>
                    </a:xfrm>
                    <a:prstGeom prst="rect">
                      <a:avLst/>
                    </a:prstGeom>
                    <a:noFill/>
                  </pic:spPr>
                </pic:pic>
              </a:graphicData>
            </a:graphic>
          </wp:anchor>
        </w:drawing>
        <w:t>UNITED STATES</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102" w:lineRule="exact"/>
        <w:rPr>
          <w:sz w:val="24"/>
          <w:szCs w:val="24"/>
          <w:color w:val="auto"/>
        </w:rPr>
      </w:pPr>
    </w:p>
    <w:p>
      <w:pPr>
        <w:ind w:left="1760" w:hanging="195"/>
        <w:spacing w:after="0"/>
        <w:tabs>
          <w:tab w:leader="none" w:pos="1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0"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93" w:lineRule="exact"/>
        <w:rPr>
          <w:sz w:val="24"/>
          <w:szCs w:val="24"/>
          <w:color w:val="auto"/>
        </w:rPr>
      </w:pPr>
    </w:p>
    <w:p>
      <w:pPr>
        <w:ind w:left="1780" w:hanging="201"/>
        <w:spacing w:after="0"/>
        <w:tabs>
          <w:tab w:leader="none" w:pos="17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0" w:lineRule="exact"/>
        <w:rPr>
          <w:rFonts w:ascii="MS PGothic" w:cs="MS PGothic" w:eastAsia="MS PGothic" w:hAnsi="MS PGothic"/>
          <w:sz w:val="17"/>
          <w:szCs w:val="17"/>
          <w:color w:val="auto"/>
        </w:rPr>
      </w:pPr>
    </w:p>
    <w:p>
      <w:pPr>
        <w:ind w:left="364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For the transition period from ________ to _________</w:t>
      </w:r>
    </w:p>
    <w:p>
      <w:pPr>
        <w:spacing w:after="0" w:line="93" w:lineRule="exact"/>
        <w:rPr>
          <w:rFonts w:ascii="MS PGothic" w:cs="MS PGothic" w:eastAsia="MS PGothic" w:hAnsi="MS PGothic"/>
          <w:sz w:val="17"/>
          <w:szCs w:val="17"/>
          <w:color w:val="auto"/>
        </w:rPr>
      </w:pPr>
    </w:p>
    <w:p>
      <w:pPr>
        <w:ind w:left="446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Commission file number 001-41903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3202305</wp:posOffset>
            </wp:positionH>
            <wp:positionV relativeFrom="paragraph">
              <wp:posOffset>65405</wp:posOffset>
            </wp:positionV>
            <wp:extent cx="738505" cy="320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8505" cy="320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5660" w:type="dxa"/>
            <w:vAlign w:val="bottom"/>
            <w:gridSpan w:val="2"/>
          </w:tcPr>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540" w:type="dxa"/>
            <w:vAlign w:val="bottom"/>
          </w:tcPr>
          <w:p>
            <w:pPr>
              <w:jc w:val="right"/>
              <w:ind w:right="2283"/>
              <w:spacing w:after="0"/>
              <w:rPr>
                <w:sz w:val="20"/>
                <w:szCs w:val="20"/>
                <w:color w:val="auto"/>
              </w:rPr>
            </w:pPr>
            <w:r>
              <w:rPr>
                <w:rFonts w:ascii="Times New Roman" w:cs="Times New Roman" w:eastAsia="Times New Roman" w:hAnsi="Times New Roman"/>
                <w:sz w:val="17"/>
                <w:szCs w:val="17"/>
                <w:b w:val="1"/>
                <w:bCs w:val="1"/>
                <w:color w:val="auto"/>
              </w:rPr>
              <w:t>93-3205861</w:t>
            </w:r>
          </w:p>
        </w:tc>
      </w:tr>
      <w:tr>
        <w:trPr>
          <w:trHeight w:val="179"/>
        </w:trPr>
        <w:tc>
          <w:tcPr>
            <w:tcW w:w="55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40" w:type="dxa"/>
            <w:vAlign w:val="bottom"/>
          </w:tcPr>
          <w:p>
            <w:pPr>
              <w:spacing w:after="0"/>
              <w:rPr>
                <w:sz w:val="15"/>
                <w:szCs w:val="15"/>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bl>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4th St.</w:t>
      </w:r>
    </w:p>
    <w:p>
      <w:pPr>
        <w:spacing w:after="0" w:line="1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ind w:left="5400"/>
        <w:spacing w:after="0"/>
        <w:rPr>
          <w:sz w:val="20"/>
          <w:szCs w:val="20"/>
          <w:color w:val="auto"/>
        </w:rPr>
      </w:pPr>
      <w:r>
        <w:rPr>
          <w:rFonts w:ascii="Times New Roman" w:cs="Times New Roman" w:eastAsia="Times New Roman" w:hAnsi="Times New Roman"/>
          <w:sz w:val="17"/>
          <w:szCs w:val="17"/>
          <w:b w:val="1"/>
          <w:bCs w:val="1"/>
          <w:color w:val="auto"/>
        </w:rPr>
        <w:t>(409) 599-5706</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222"/>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120" w:type="dxa"/>
            <w:vAlign w:val="bottom"/>
            <w:tcBorders>
              <w:bottom w:val="single" w:sz="8" w:color="CCEEFF"/>
            </w:tcBorders>
          </w:tcPr>
          <w:p>
            <w:pPr>
              <w:spacing w:after="0"/>
              <w:rPr>
                <w:sz w:val="19"/>
                <w:szCs w:val="19"/>
                <w:color w:val="auto"/>
              </w:rPr>
            </w:pP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Name of each exchange on which registered</w:t>
            </w:r>
          </w:p>
        </w:tc>
      </w:tr>
      <w:tr>
        <w:trPr>
          <w:trHeight w:val="207"/>
        </w:trPr>
        <w:tc>
          <w:tcPr>
            <w:tcW w:w="4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Common Stock, $0.01 par value</w:t>
            </w: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TE</w:t>
            </w:r>
          </w:p>
        </w:tc>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The New York Stock Exchange</w:t>
            </w:r>
          </w:p>
        </w:tc>
      </w:tr>
      <w:tr>
        <w:trPr>
          <w:trHeight w:val="156"/>
        </w:trPr>
        <w:tc>
          <w:tcPr>
            <w:tcW w:w="466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6"/>
                <w:szCs w:val="16"/>
                <w:color w:val="auto"/>
                <w:w w:val="96"/>
              </w:rPr>
              <w:t>Warrants, each whole warrant exercisable for one share of Common</w:t>
            </w:r>
          </w:p>
        </w:tc>
        <w:tc>
          <w:tcPr>
            <w:tcW w:w="19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w w:val="96"/>
              </w:rPr>
              <w:t>TE WS</w:t>
            </w:r>
          </w:p>
        </w:tc>
        <w:tc>
          <w:tcPr>
            <w:tcW w:w="45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The New York Stock Exchange</w:t>
            </w:r>
          </w:p>
        </w:tc>
      </w:tr>
      <w:tr>
        <w:trPr>
          <w:trHeight w:val="200"/>
        </w:trPr>
        <w:tc>
          <w:tcPr>
            <w:tcW w:w="4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Stock at an exercise price of $11.50</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Pr>
          <w:p>
            <w:pPr>
              <w:spacing w:after="0"/>
              <w:rPr>
                <w:sz w:val="17"/>
                <w:szCs w:val="17"/>
                <w:color w:val="auto"/>
              </w:rPr>
            </w:pPr>
          </w:p>
        </w:tc>
      </w:tr>
    </w:tbl>
    <w:p>
      <w:pPr>
        <w:spacing w:after="0" w:line="114" w:lineRule="exact"/>
        <w:rPr>
          <w:sz w:val="24"/>
          <w:szCs w:val="24"/>
          <w:color w:val="auto"/>
        </w:rPr>
      </w:pPr>
    </w:p>
    <w:p>
      <w:pPr>
        <w:ind w:right="360"/>
        <w:spacing w:after="0" w:line="16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202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2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3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2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6" w:lineRule="exact"/>
        <w:rPr>
          <w:sz w:val="24"/>
          <w:szCs w:val="24"/>
          <w:color w:val="auto"/>
        </w:rPr>
      </w:pPr>
    </w:p>
    <w:p>
      <w:pPr>
        <w:spacing w:after="0" w:line="17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41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8, 2026, there were 279,271,380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510540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244475</wp:posOffset>
            </wp:positionV>
            <wp:extent cx="712978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978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219710</wp:posOffset>
            </wp:positionV>
            <wp:extent cx="7129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9780" cy="825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7"/>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60" w:type="dxa"/>
            <w:vAlign w:val="bottom"/>
            <w:gridSpan w:val="3"/>
          </w:tcPr>
          <w:p>
            <w:pPr>
              <w:ind w:left="9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697"/>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20" w:type="dxa"/>
            <w:vAlign w:val="bottom"/>
            <w:gridSpan w:val="3"/>
          </w:tcPr>
          <w:p>
            <w:pPr>
              <w:ind w:left="13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81"/>
        </w:trPr>
        <w:tc>
          <w:tcPr>
            <w:tcW w:w="9320" w:type="dxa"/>
            <w:vAlign w:val="bottom"/>
            <w:tcBorders>
              <w:left w:val="single" w:sz="8" w:color="CCEEFF"/>
            </w:tcBorders>
            <w:gridSpan w:val="15"/>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0000FF"/>
              </w:rPr>
              <w:t>Part I - Financial Information</w:t>
            </w:r>
          </w:p>
        </w:tc>
        <w:tc>
          <w:tcPr>
            <w:tcW w:w="15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left w:val="single" w:sz="8" w:color="CCEEFF"/>
            </w:tcBorders>
            <w:shd w:val="clear" w:color="auto" w:fill="CCEEFF"/>
          </w:tcPr>
          <w:p>
            <w:pPr>
              <w:spacing w:after="0"/>
              <w:rPr>
                <w:sz w:val="15"/>
                <w:szCs w:val="15"/>
                <w:color w:val="auto"/>
              </w:rPr>
            </w:pPr>
          </w:p>
        </w:tc>
      </w:tr>
      <w:tr>
        <w:trPr>
          <w:trHeight w:val="39"/>
        </w:trPr>
        <w:tc>
          <w:tcPr>
            <w:tcW w:w="220" w:type="dxa"/>
            <w:vAlign w:val="bottom"/>
            <w:tcBorders>
              <w:left w:val="single" w:sz="8" w:color="CCEE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5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r>
      <w:tr>
        <w:trPr>
          <w:trHeight w:val="181"/>
        </w:trPr>
        <w:tc>
          <w:tcPr>
            <w:tcW w:w="220" w:type="dxa"/>
            <w:vAlign w:val="bottom"/>
          </w:tcPr>
          <w:p>
            <w:pPr>
              <w:spacing w:after="0"/>
              <w:rPr>
                <w:sz w:val="15"/>
                <w:szCs w:val="15"/>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5"/>
              </w:rPr>
              <w:t>Item 1.</w:t>
            </w:r>
          </w:p>
        </w:tc>
        <w:tc>
          <w:tcPr>
            <w:tcW w:w="6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w:t>
            </w:r>
          </w:p>
        </w:tc>
        <w:tc>
          <w:tcPr>
            <w:tcW w:w="1600" w:type="dxa"/>
            <w:vAlign w:val="bottom"/>
            <w:gridSpan w:val="2"/>
          </w:tcPr>
          <w:p>
            <w:pPr>
              <w:jc w:val="center"/>
              <w:ind w:left="1414"/>
              <w:spacing w:after="0" w:line="181" w:lineRule="exact"/>
              <w:rPr>
                <w:sz w:val="20"/>
                <w:szCs w:val="20"/>
                <w:color w:val="auto"/>
              </w:rPr>
            </w:pPr>
            <w:r>
              <w:rPr>
                <w:rFonts w:ascii="Times New Roman" w:cs="Times New Roman" w:eastAsia="Times New Roman" w:hAnsi="Times New Roman"/>
                <w:sz w:val="17"/>
                <w:szCs w:val="17"/>
                <w:color w:val="0000FF"/>
              </w:rPr>
              <w:t>1</w:t>
            </w:r>
          </w:p>
        </w:tc>
        <w:tc>
          <w:tcPr>
            <w:tcW w:w="320" w:type="dxa"/>
            <w:vAlign w:val="bottom"/>
          </w:tcPr>
          <w:p>
            <w:pPr>
              <w:spacing w:after="0"/>
              <w:rPr>
                <w:sz w:val="15"/>
                <w:szCs w:val="15"/>
                <w:color w:val="auto"/>
              </w:rPr>
            </w:pPr>
          </w:p>
        </w:tc>
      </w:tr>
      <w:tr>
        <w:trPr>
          <w:trHeight w:val="29"/>
        </w:trPr>
        <w:tc>
          <w:tcPr>
            <w:tcW w:w="2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209"/>
        </w:trPr>
        <w:tc>
          <w:tcPr>
            <w:tcW w:w="22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5"/>
              </w:rPr>
              <w:t>Item 2.</w:t>
            </w:r>
          </w:p>
        </w:tc>
        <w:tc>
          <w:tcPr>
            <w:tcW w:w="620" w:type="dxa"/>
            <w:vAlign w:val="bottom"/>
            <w:tcBorders>
              <w:lef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746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920" w:type="dxa"/>
            <w:vAlign w:val="bottom"/>
            <w:gridSpan w:val="3"/>
            <w:shd w:val="clear" w:color="auto" w:fill="CCEEFF"/>
          </w:tcPr>
          <w:p>
            <w:pPr>
              <w:jc w:val="center"/>
              <w:ind w:left="1094"/>
              <w:spacing w:after="0" w:line="190" w:lineRule="exact"/>
              <w:rPr>
                <w:sz w:val="20"/>
                <w:szCs w:val="20"/>
                <w:color w:val="auto"/>
              </w:rPr>
            </w:pPr>
            <w:r>
              <w:rPr>
                <w:rFonts w:ascii="Times New Roman" w:cs="Times New Roman" w:eastAsia="Times New Roman" w:hAnsi="Times New Roman"/>
                <w:sz w:val="17"/>
                <w:szCs w:val="17"/>
                <w:color w:val="0000FF"/>
              </w:rPr>
              <w:t>21</w:t>
            </w:r>
          </w:p>
        </w:tc>
      </w:tr>
      <w:tr>
        <w:trPr>
          <w:trHeight w:val="190"/>
        </w:trPr>
        <w:tc>
          <w:tcPr>
            <w:tcW w:w="220" w:type="dxa"/>
            <w:vAlign w:val="bottom"/>
            <w:tcBorders>
              <w:top w:val="single" w:sz="8" w:color="CCEE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line="181" w:lineRule="exact"/>
              <w:rPr>
                <w:sz w:val="20"/>
                <w:szCs w:val="20"/>
                <w:color w:val="auto"/>
              </w:rPr>
            </w:pPr>
            <w:r>
              <w:rPr>
                <w:rFonts w:ascii="Times New Roman" w:cs="Times New Roman" w:eastAsia="Times New Roman" w:hAnsi="Times New Roman"/>
                <w:sz w:val="17"/>
                <w:szCs w:val="17"/>
                <w:color w:val="0000FF"/>
                <w:w w:val="95"/>
              </w:rPr>
              <w:t>Item 3.</w:t>
            </w:r>
          </w:p>
        </w:tc>
        <w:tc>
          <w:tcPr>
            <w:tcW w:w="620" w:type="dxa"/>
            <w:vAlign w:val="bottom"/>
            <w:tcBorders>
              <w:top w:val="single" w:sz="8" w:color="CCEEFF"/>
            </w:tcBorders>
            <w:gridSpan w:val="2"/>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4140" w:type="dxa"/>
            <w:vAlign w:val="bottom"/>
            <w:tcBorders>
              <w:top w:val="single" w:sz="8" w:color="0000FF"/>
              <w:bottom w:val="single" w:sz="8" w:color="0000FF"/>
            </w:tcBorders>
            <w:gridSpan w:val="8"/>
          </w:tcPr>
          <w:p>
            <w:pPr>
              <w:spacing w:after="0" w:line="181"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00" w:type="dxa"/>
            <w:vAlign w:val="bottom"/>
            <w:tcBorders>
              <w:top w:val="single" w:sz="8" w:color="0000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7"/>
                <w:szCs w:val="17"/>
                <w:color w:val="0000FF"/>
                <w:w w:val="82"/>
              </w:rPr>
              <w:t>25</w:t>
            </w:r>
          </w:p>
        </w:tc>
        <w:tc>
          <w:tcPr>
            <w:tcW w:w="320" w:type="dxa"/>
            <w:vAlign w:val="bottom"/>
            <w:tcBorders>
              <w:top w:val="single" w:sz="8" w:color="CCEEFF"/>
            </w:tcBorders>
          </w:tcPr>
          <w:p>
            <w:pPr>
              <w:spacing w:after="0"/>
              <w:rPr>
                <w:sz w:val="16"/>
                <w:szCs w:val="16"/>
                <w:color w:val="auto"/>
              </w:rPr>
            </w:pPr>
          </w:p>
        </w:tc>
      </w:tr>
      <w:tr>
        <w:trPr>
          <w:trHeight w:val="209"/>
        </w:trPr>
        <w:tc>
          <w:tcPr>
            <w:tcW w:w="1340" w:type="dxa"/>
            <w:vAlign w:val="bottom"/>
            <w:tcBorders>
              <w:left w:val="single" w:sz="8" w:color="CCEEFF"/>
            </w:tcBorders>
            <w:gridSpan w:val="4"/>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Item 4.</w:t>
            </w:r>
          </w:p>
        </w:tc>
        <w:tc>
          <w:tcPr>
            <w:tcW w:w="7980" w:type="dxa"/>
            <w:vAlign w:val="bottom"/>
            <w:gridSpan w:val="11"/>
            <w:shd w:val="clear" w:color="auto" w:fill="CCEEFF"/>
          </w:tcPr>
          <w:p>
            <w:pPr>
              <w:ind w:left="480"/>
              <w:spacing w:after="0" w:line="190" w:lineRule="exact"/>
              <w:rPr>
                <w:sz w:val="20"/>
                <w:szCs w:val="20"/>
                <w:color w:val="auto"/>
              </w:rPr>
            </w:pPr>
            <w:r>
              <w:rPr>
                <w:rFonts w:ascii="Times New Roman" w:cs="Times New Roman" w:eastAsia="Times New Roman" w:hAnsi="Times New Roman"/>
                <w:sz w:val="17"/>
                <w:szCs w:val="17"/>
                <w:color w:val="0000FF"/>
              </w:rPr>
              <w:t>Controls and Procedures</w:t>
            </w:r>
          </w:p>
        </w:tc>
        <w:tc>
          <w:tcPr>
            <w:tcW w:w="1920" w:type="dxa"/>
            <w:vAlign w:val="bottom"/>
            <w:gridSpan w:val="3"/>
            <w:shd w:val="clear" w:color="auto" w:fill="CCEEFF"/>
          </w:tcPr>
          <w:p>
            <w:pPr>
              <w:jc w:val="center"/>
              <w:ind w:left="1094"/>
              <w:spacing w:after="0" w:line="190" w:lineRule="exact"/>
              <w:rPr>
                <w:sz w:val="20"/>
                <w:szCs w:val="20"/>
                <w:color w:val="auto"/>
              </w:rPr>
            </w:pPr>
            <w:r>
              <w:rPr>
                <w:rFonts w:ascii="Times New Roman" w:cs="Times New Roman" w:eastAsia="Times New Roman" w:hAnsi="Times New Roman"/>
                <w:sz w:val="17"/>
                <w:szCs w:val="17"/>
                <w:color w:val="0000FF"/>
              </w:rPr>
              <w:t>25</w:t>
            </w:r>
          </w:p>
        </w:tc>
      </w:tr>
      <w:tr>
        <w:trPr>
          <w:trHeight w:val="207"/>
        </w:trPr>
        <w:tc>
          <w:tcPr>
            <w:tcW w:w="22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200"/>
        </w:trPr>
        <w:tc>
          <w:tcPr>
            <w:tcW w:w="1860" w:type="dxa"/>
            <w:vAlign w:val="bottom"/>
            <w:tcBorders>
              <w:left w:val="single" w:sz="8" w:color="CCEEFF"/>
              <w:bottom w:val="single" w:sz="8" w:color="0000FF"/>
              <w:right w:val="single" w:sz="8" w:color="CCEEFF"/>
            </w:tcBorders>
            <w:gridSpan w:val="5"/>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0000FF"/>
                <w:w w:val="99"/>
              </w:rPr>
              <w:t>Part II - Other Information</w:t>
            </w:r>
          </w:p>
        </w:tc>
        <w:tc>
          <w:tcPr>
            <w:tcW w:w="7460" w:type="dxa"/>
            <w:vAlign w:val="bottom"/>
            <w:tcBorders>
              <w:bottom w:val="single" w:sz="8" w:color="CCEEFF"/>
            </w:tcBorders>
            <w:gridSpan w:val="10"/>
            <w:shd w:val="clear" w:color="auto" w:fill="CCEEFF"/>
          </w:tcPr>
          <w:p>
            <w:pPr>
              <w:spacing w:after="0"/>
              <w:rPr>
                <w:sz w:val="17"/>
                <w:szCs w:val="17"/>
                <w:color w:val="auto"/>
              </w:rPr>
            </w:pPr>
          </w:p>
        </w:tc>
        <w:tc>
          <w:tcPr>
            <w:tcW w:w="15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81"/>
        </w:trPr>
        <w:tc>
          <w:tcPr>
            <w:tcW w:w="220" w:type="dxa"/>
            <w:vAlign w:val="bottom"/>
          </w:tcPr>
          <w:p>
            <w:pPr>
              <w:spacing w:after="0"/>
              <w:rPr>
                <w:sz w:val="15"/>
                <w:szCs w:val="15"/>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5"/>
              </w:rPr>
              <w:t>Item 1.</w:t>
            </w:r>
          </w:p>
        </w:tc>
        <w:tc>
          <w:tcPr>
            <w:tcW w:w="6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1920" w:type="dxa"/>
            <w:vAlign w:val="bottom"/>
            <w:gridSpan w:val="3"/>
          </w:tcPr>
          <w:p>
            <w:pPr>
              <w:jc w:val="center"/>
              <w:ind w:left="1094"/>
              <w:spacing w:after="0" w:line="181" w:lineRule="exact"/>
              <w:rPr>
                <w:sz w:val="20"/>
                <w:szCs w:val="20"/>
                <w:color w:val="auto"/>
              </w:rPr>
            </w:pPr>
            <w:r>
              <w:rPr>
                <w:rFonts w:ascii="Times New Roman" w:cs="Times New Roman" w:eastAsia="Times New Roman" w:hAnsi="Times New Roman"/>
                <w:sz w:val="17"/>
                <w:szCs w:val="17"/>
                <w:color w:val="0000FF"/>
              </w:rPr>
              <w:t>26</w:t>
            </w:r>
          </w:p>
        </w:tc>
      </w:tr>
      <w:tr>
        <w:trPr>
          <w:trHeight w:val="29"/>
        </w:trPr>
        <w:tc>
          <w:tcPr>
            <w:tcW w:w="2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r>
      <w:tr>
        <w:trPr>
          <w:trHeight w:val="209"/>
        </w:trPr>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620" w:type="dxa"/>
            <w:vAlign w:val="bottom"/>
            <w:tcBorders>
              <w:bottom w:val="single" w:sz="8" w:color="0000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9"/>
              </w:rPr>
              <w:t>Item 1A.</w:t>
            </w:r>
          </w:p>
        </w:tc>
        <w:tc>
          <w:tcPr>
            <w:tcW w:w="5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840" w:type="dxa"/>
            <w:vAlign w:val="bottom"/>
            <w:tcBorders>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5"/>
              </w:rPr>
              <w:t>Risk Factors</w:t>
            </w:r>
          </w:p>
        </w:tc>
        <w:tc>
          <w:tcPr>
            <w:tcW w:w="6620" w:type="dxa"/>
            <w:vAlign w:val="bottom"/>
            <w:tcBorders>
              <w:bottom w:val="single" w:sz="8" w:color="CCEEFF"/>
            </w:tcBorders>
            <w:gridSpan w:val="7"/>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w w:val="82"/>
              </w:rPr>
              <w:t>27</w:t>
            </w:r>
          </w:p>
        </w:tc>
        <w:tc>
          <w:tcPr>
            <w:tcW w:w="3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0"/>
        </w:trPr>
        <w:tc>
          <w:tcPr>
            <w:tcW w:w="220" w:type="dxa"/>
            <w:vAlign w:val="bottom"/>
          </w:tcPr>
          <w:p>
            <w:pPr>
              <w:spacing w:after="0"/>
              <w:rPr>
                <w:sz w:val="16"/>
                <w:szCs w:val="16"/>
                <w:color w:val="auto"/>
              </w:rPr>
            </w:pPr>
          </w:p>
        </w:tc>
        <w:tc>
          <w:tcPr>
            <w:tcW w:w="500" w:type="dxa"/>
            <w:vAlign w:val="bottom"/>
            <w:tcBorders>
              <w:bottom w:val="single" w:sz="8" w:color="0000FF"/>
            </w:tcBorders>
          </w:tcPr>
          <w:p>
            <w:pPr>
              <w:spacing w:after="0" w:line="181" w:lineRule="exact"/>
              <w:rPr>
                <w:sz w:val="20"/>
                <w:szCs w:val="20"/>
                <w:color w:val="auto"/>
              </w:rPr>
            </w:pPr>
            <w:r>
              <w:rPr>
                <w:rFonts w:ascii="Times New Roman" w:cs="Times New Roman" w:eastAsia="Times New Roman" w:hAnsi="Times New Roman"/>
                <w:sz w:val="17"/>
                <w:szCs w:val="17"/>
                <w:color w:val="0000FF"/>
                <w:w w:val="95"/>
              </w:rPr>
              <w:t>Item 2.</w:t>
            </w:r>
          </w:p>
        </w:tc>
        <w:tc>
          <w:tcPr>
            <w:tcW w:w="62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4140" w:type="dxa"/>
            <w:vAlign w:val="bottom"/>
            <w:tcBorders>
              <w:bottom w:val="single" w:sz="8" w:color="0000FF"/>
            </w:tcBorders>
            <w:gridSpan w:val="8"/>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32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7"/>
                <w:szCs w:val="17"/>
                <w:color w:val="0000FF"/>
                <w:w w:val="82"/>
              </w:rPr>
              <w:t>27</w:t>
            </w:r>
          </w:p>
        </w:tc>
        <w:tc>
          <w:tcPr>
            <w:tcW w:w="320" w:type="dxa"/>
            <w:vAlign w:val="bottom"/>
          </w:tcPr>
          <w:p>
            <w:pPr>
              <w:spacing w:after="0"/>
              <w:rPr>
                <w:sz w:val="16"/>
                <w:szCs w:val="16"/>
                <w:color w:val="auto"/>
              </w:rPr>
            </w:pPr>
          </w:p>
        </w:tc>
      </w:tr>
      <w:tr>
        <w:trPr>
          <w:trHeight w:val="209"/>
        </w:trPr>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500" w:type="dxa"/>
            <w:vAlign w:val="bottom"/>
            <w:tcBorders>
              <w:bottom w:val="single" w:sz="8" w:color="0000FF"/>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5"/>
              </w:rPr>
              <w:t>Item 3.</w:t>
            </w:r>
          </w:p>
        </w:tc>
        <w:tc>
          <w:tcPr>
            <w:tcW w:w="620" w:type="dxa"/>
            <w:vAlign w:val="bottom"/>
            <w:tcBorders>
              <w:left w:val="single" w:sz="8" w:color="CCEEFF"/>
              <w:bottom w:val="single" w:sz="8" w:color="CCEEFF"/>
            </w:tcBorders>
            <w:gridSpan w:val="2"/>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2200" w:type="dxa"/>
            <w:vAlign w:val="bottom"/>
            <w:tcBorders>
              <w:bottom w:val="single" w:sz="8" w:color="0000FF"/>
            </w:tcBorders>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5260" w:type="dxa"/>
            <w:vAlign w:val="bottom"/>
            <w:tcBorders>
              <w:bottom w:val="single" w:sz="8" w:color="CCEEFF"/>
            </w:tcBorders>
            <w:gridSpan w:val="3"/>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w w:val="82"/>
              </w:rPr>
              <w:t>27</w:t>
            </w:r>
          </w:p>
        </w:tc>
        <w:tc>
          <w:tcPr>
            <w:tcW w:w="3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0"/>
        </w:trPr>
        <w:tc>
          <w:tcPr>
            <w:tcW w:w="220" w:type="dxa"/>
            <w:vAlign w:val="bottom"/>
          </w:tcPr>
          <w:p>
            <w:pPr>
              <w:spacing w:after="0"/>
              <w:rPr>
                <w:sz w:val="16"/>
                <w:szCs w:val="16"/>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5"/>
              </w:rPr>
              <w:t>Item 4.</w:t>
            </w:r>
          </w:p>
        </w:tc>
        <w:tc>
          <w:tcPr>
            <w:tcW w:w="62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74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1920" w:type="dxa"/>
            <w:vAlign w:val="bottom"/>
            <w:gridSpan w:val="3"/>
          </w:tcPr>
          <w:p>
            <w:pPr>
              <w:jc w:val="center"/>
              <w:ind w:left="1094"/>
              <w:spacing w:after="0" w:line="181" w:lineRule="exact"/>
              <w:rPr>
                <w:sz w:val="20"/>
                <w:szCs w:val="20"/>
                <w:color w:val="auto"/>
              </w:rPr>
            </w:pPr>
            <w:r>
              <w:rPr>
                <w:rFonts w:ascii="Times New Roman" w:cs="Times New Roman" w:eastAsia="Times New Roman" w:hAnsi="Times New Roman"/>
                <w:sz w:val="17"/>
                <w:szCs w:val="17"/>
                <w:color w:val="0000FF"/>
              </w:rPr>
              <w:t>27</w:t>
            </w:r>
          </w:p>
        </w:tc>
      </w:tr>
      <w:tr>
        <w:trPr>
          <w:trHeight w:val="209"/>
        </w:trPr>
        <w:tc>
          <w:tcPr>
            <w:tcW w:w="220" w:type="dxa"/>
            <w:vAlign w:val="bottom"/>
            <w:tcBorders>
              <w:left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5"/>
              </w:rPr>
              <w:t>Item 5.</w:t>
            </w:r>
          </w:p>
        </w:tc>
        <w:tc>
          <w:tcPr>
            <w:tcW w:w="620" w:type="dxa"/>
            <w:vAlign w:val="bottom"/>
            <w:tcBorders>
              <w:lef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top w:val="single" w:sz="8" w:color="0000FF"/>
            </w:tcBorders>
            <w:gridSpan w:val="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Other Information</w:t>
            </w:r>
          </w:p>
        </w:tc>
        <w:tc>
          <w:tcPr>
            <w:tcW w:w="5800" w:type="dxa"/>
            <w:vAlign w:val="bottom"/>
            <w:gridSpan w:val="4"/>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w w:val="82"/>
              </w:rPr>
              <w:t>27</w:t>
            </w:r>
          </w:p>
        </w:tc>
        <w:tc>
          <w:tcPr>
            <w:tcW w:w="320" w:type="dxa"/>
            <w:vAlign w:val="bottom"/>
            <w:tcBorders>
              <w:left w:val="single" w:sz="8" w:color="CCEEFF"/>
            </w:tcBorders>
            <w:shd w:val="clear" w:color="auto" w:fill="CCEEFF"/>
          </w:tcPr>
          <w:p>
            <w:pPr>
              <w:spacing w:after="0"/>
              <w:rPr>
                <w:sz w:val="18"/>
                <w:szCs w:val="18"/>
                <w:color w:val="auto"/>
              </w:rPr>
            </w:pPr>
          </w:p>
        </w:tc>
      </w:tr>
      <w:tr>
        <w:trPr>
          <w:trHeight w:val="181"/>
        </w:trPr>
        <w:tc>
          <w:tcPr>
            <w:tcW w:w="22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line="181" w:lineRule="exact"/>
              <w:rPr>
                <w:sz w:val="20"/>
                <w:szCs w:val="20"/>
                <w:color w:val="auto"/>
              </w:rPr>
            </w:pPr>
            <w:r>
              <w:rPr>
                <w:rFonts w:ascii="Times New Roman" w:cs="Times New Roman" w:eastAsia="Times New Roman" w:hAnsi="Times New Roman"/>
                <w:sz w:val="17"/>
                <w:szCs w:val="17"/>
                <w:color w:val="0000FF"/>
                <w:w w:val="95"/>
              </w:rPr>
              <w:t>Item 6.</w:t>
            </w:r>
          </w:p>
        </w:tc>
        <w:tc>
          <w:tcPr>
            <w:tcW w:w="620" w:type="dxa"/>
            <w:vAlign w:val="bottom"/>
            <w:tcBorders>
              <w:top w:val="single" w:sz="8" w:color="CCEEFF"/>
            </w:tcBorders>
            <w:gridSpan w:val="2"/>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40" w:type="dxa"/>
            <w:vAlign w:val="bottom"/>
            <w:tcBorders>
              <w:top w:val="single" w:sz="8" w:color="0000FF"/>
            </w:tcBorders>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Exhibits</w:t>
            </w:r>
          </w:p>
        </w:tc>
        <w:tc>
          <w:tcPr>
            <w:tcW w:w="6220" w:type="dxa"/>
            <w:vAlign w:val="bottom"/>
            <w:tcBorders>
              <w:top w:val="single" w:sz="8" w:color="CCEEFF"/>
            </w:tcBorders>
            <w:gridSpan w:val="6"/>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jc w:val="center"/>
              <w:spacing w:after="0" w:line="181" w:lineRule="exact"/>
              <w:rPr>
                <w:sz w:val="20"/>
                <w:szCs w:val="20"/>
                <w:color w:val="auto"/>
              </w:rPr>
            </w:pPr>
            <w:r>
              <w:rPr>
                <w:rFonts w:ascii="Times New Roman" w:cs="Times New Roman" w:eastAsia="Times New Roman" w:hAnsi="Times New Roman"/>
                <w:sz w:val="17"/>
                <w:szCs w:val="17"/>
                <w:color w:val="0000FF"/>
                <w:w w:val="82"/>
              </w:rPr>
              <w:t>28</w:t>
            </w:r>
          </w:p>
        </w:tc>
        <w:tc>
          <w:tcPr>
            <w:tcW w:w="320" w:type="dxa"/>
            <w:vAlign w:val="bottom"/>
            <w:tcBorders>
              <w:top w:val="single" w:sz="8" w:color="CCEEFF"/>
            </w:tcBorders>
          </w:tcPr>
          <w:p>
            <w:pPr>
              <w:spacing w:after="0"/>
              <w:rPr>
                <w:sz w:val="15"/>
                <w:szCs w:val="15"/>
                <w:color w:val="auto"/>
              </w:rPr>
            </w:pPr>
          </w:p>
        </w:tc>
      </w:tr>
      <w:tr>
        <w:trPr>
          <w:trHeight w:val="29"/>
        </w:trPr>
        <w:tc>
          <w:tcPr>
            <w:tcW w:w="2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r>
      <w:tr>
        <w:trPr>
          <w:trHeight w:val="190"/>
        </w:trPr>
        <w:tc>
          <w:tcPr>
            <w:tcW w:w="1340" w:type="dxa"/>
            <w:vAlign w:val="bottom"/>
            <w:tcBorders>
              <w:left w:val="single" w:sz="8" w:color="CCEEFF"/>
            </w:tcBorders>
            <w:gridSpan w:val="4"/>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Signatures</w:t>
            </w:r>
          </w:p>
        </w:tc>
        <w:tc>
          <w:tcPr>
            <w:tcW w:w="5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left="1094"/>
              <w:spacing w:after="0" w:line="190" w:lineRule="exact"/>
              <w:rPr>
                <w:sz w:val="20"/>
                <w:szCs w:val="20"/>
                <w:color w:val="auto"/>
              </w:rPr>
            </w:pPr>
            <w:r>
              <w:rPr>
                <w:rFonts w:ascii="Times New Roman" w:cs="Times New Roman" w:eastAsia="Times New Roman" w:hAnsi="Times New Roman"/>
                <w:sz w:val="17"/>
                <w:szCs w:val="17"/>
                <w:color w:val="0000FF"/>
              </w:rPr>
              <w:t>29</w:t>
            </w:r>
          </w:p>
        </w:tc>
      </w:tr>
      <w:tr>
        <w:trPr>
          <w:trHeight w:val="39"/>
        </w:trPr>
        <w:tc>
          <w:tcPr>
            <w:tcW w:w="220" w:type="dxa"/>
            <w:vAlign w:val="bottom"/>
            <w:tcBorders>
              <w:left w:val="single" w:sz="8" w:color="CCEE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50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0000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 w:name="page3"/>
    <w:bookmarkEnd w:id="2"/>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This Quarterly Report on Form 10-Q, including the information and documents incorporated by reference herein, contains forward-looking statements within the meaning of Section 27A of the Securities Act of 1933, as amended (the “Securities Act”), and Section 21E of the Securities Exchange Act of 1934, as</w:t>
      </w:r>
    </w:p>
    <w:p>
      <w:pPr>
        <w:jc w:val="both"/>
        <w:spacing w:after="0" w:line="211" w:lineRule="auto"/>
        <w:rPr>
          <w:sz w:val="20"/>
          <w:szCs w:val="20"/>
          <w:color w:val="auto"/>
        </w:rPr>
      </w:pPr>
      <w:r>
        <w:rPr>
          <w:rFonts w:ascii="Times New Roman" w:cs="Times New Roman" w:eastAsia="Times New Roman" w:hAnsi="Times New Roman"/>
          <w:sz w:val="17"/>
          <w:szCs w:val="17"/>
          <w:color w:val="auto"/>
        </w:rPr>
        <w:t>amended (the “Exchange Act”). All statements other than statements of historical or current facts contained or incorporated by reference in this Quarterly Report on Form 10-Q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 and are intended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identify forward-looking statements, although not all forward-looking statements contain such identifying words.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The forward-looking statements contained or incorporated by reference in this Quarterly Report on Form 10-Q are only predictions. We base these forward-looking statements largely on our current expectations and projections about future events and financial trends that we believe may affect our business,</w:t>
      </w:r>
    </w:p>
    <w:p>
      <w:pPr>
        <w:jc w:val="both"/>
        <w:spacing w:after="0" w:line="211" w:lineRule="auto"/>
        <w:rPr>
          <w:sz w:val="20"/>
          <w:szCs w:val="20"/>
          <w:color w:val="auto"/>
        </w:rPr>
      </w:pPr>
      <w:r>
        <w:rPr>
          <w:rFonts w:ascii="Times New Roman" w:cs="Times New Roman" w:eastAsia="Times New Roman" w:hAnsi="Times New Roman"/>
          <w:sz w:val="17"/>
          <w:szCs w:val="17"/>
          <w:color w:val="auto"/>
        </w:rPr>
        <w:t>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set forth in Part I, Item 1A, “Risk Factors” in our Annual Report on Form 10-K for the year ended December 31, 2025 filed with the U.S. Securities and Exchange Commission (the “SEC”) on March 31, 2026, as amended and supplemented by Amendment No. 1 on Form 10-K/A filed with the SEC on April 30, 2026, and in our other filings with the SEC, including risks related to: (1) our ability to (i) construct and equip manufacturing facilities in a timely and cost-effective manner;</w:t>
      </w:r>
    </w:p>
    <w:p>
      <w:pPr>
        <w:spacing w:after="0" w:line="1" w:lineRule="exact"/>
        <w:rPr>
          <w:sz w:val="20"/>
          <w:szCs w:val="20"/>
          <w:color w:val="auto"/>
        </w:rPr>
      </w:pPr>
    </w:p>
    <w:p>
      <w:pPr>
        <w:jc w:val="both"/>
        <w:ind w:firstLine="3"/>
        <w:spacing w:after="0" w:line="209" w:lineRule="auto"/>
        <w:tabs>
          <w:tab w:leader="none" w:pos="2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and retain customers and suppliers; (iii) attract and retain key employees and qualified personnel; (iv) protect our intellectual property; (v) comply with legal and environmental regulations; (vi) compete in international markets in light of export and import controls; (vii) incur substantially more debt; (viii) remediate the material weakness in our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the concentration of our operations in Texas and our dependence on a limited number of suppliers; (3) changes adversely affecting the flow of components and materials from international vendors, the costs of raw materials, components, equipment, and machinery; (4) general economic and geopolitical conditions, (5) changes in applicable laws or regulations, including environmental, export control and tax laws and incentives and renewable energy targets, as well as international trade policies, including tariffs, on our products and our competitive position; (6) the outcome of any legal proceedings relating to our products and services, including intellectual property or product liability claims, commercial or contractual disputes, warranty claims, and other proceedings; and</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the capital-intensive nature of our business and our ability to raise additional capital on attractive terms or service our debt.</w:t>
      </w:r>
    </w:p>
    <w:p>
      <w:pPr>
        <w:spacing w:after="0" w:line="122"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1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Quarterly Report on Form 10-Q, or the documents incorporated by reference herein, and while we believe such information provides a reasonable basis for these statements, and our management is responsible for the accuracy of such statements, such information may be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You should read this Quarterly Report on Form 10-Q, and the documents incorporated by reference herein, with the understanding that our actual future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results, levels of activity, performance and achievements may be materially different from what we expect. All forward-looking statements attributable to us or persons acting on our behalf are expressly qualified in their entirety by these cautionary statements.</w:t>
      </w:r>
    </w:p>
    <w:p>
      <w:pPr>
        <w:spacing w:after="0" w:line="10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These forward-looking statements speak only as of the date of this Quarterly Report on Form 10-Q. Except as required by applicable law, we do not assume any obligation to update any forward-looking statement, whether as a result of any new information, future events or otherwise.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Information</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February 2025, we changed our corporate name from FREYR Battery, Inc. to T1 Energy Inc. We will not distinguish between our prior and current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corporate name and will refer to our current corporate name throughout this Quarterly Report on Form 10-Q. As such, unless expressly indicated or the context requires otherwise, the terms “T1,” “Company,” “we,” “us,” and “our” in this document refer to T1 Energy Inc., a Delaware corporation, and, where appropriate,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 w:name="page4"/>
    <w:bookmarkEnd w:id="3"/>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T1 intends to use its website as a channel of distribution to disclose information which may be of interest or material to investors and to communicate with investors and the public. Such disclosures will be included on T1’s website in the “Investor Relations” section located at https://ir.t1energy.com/. T1 also intends to use certain social media channels, including, but not limited to, our X account (https://x.com/T1_Energy), our LinkedIn account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(https://www.linkedin.com/company/t1energy) and our Instagram account (https://www.instagram.com/t1_energy/), as well as Daniel Barcelo’s X account (https://x.com/_danielbarcelo) and LinkedIn account (https://www.linkedin.com/in/daniel-barcelo-b262a939/), as means of communicating with the public and investors about T1, its progress, products and other matters. While not all the information that T1 or Daniel Barcelo post to their respective digital platforms may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be deemed to be of a material nature, some information may be. As a result, T1 encourages investors and others interested to review the information that it posts and to monitor such portions of T1’s website and social media channels on a regular basis, in addition to following T1’s press releases, SEC filings, and public conference calls and webcasts. The contents of T1’s website and other social media channels shall not be deemed incorporated by reference in any filing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06" w:lineRule="auto"/>
        <w:rPr>
          <w:sz w:val="20"/>
          <w:szCs w:val="20"/>
          <w:color w:val="auto"/>
        </w:rPr>
      </w:pPr>
      <w:r>
        <w:rPr>
          <w:rFonts w:ascii="Times New Roman" w:cs="Times New Roman" w:eastAsia="Times New Roman" w:hAnsi="Times New Roman"/>
          <w:sz w:val="17"/>
          <w:szCs w:val="17"/>
          <w:b w:val="1"/>
          <w:bCs w:val="1"/>
          <w:color w:val="auto"/>
        </w:rPr>
        <w:t>ITEM 1. FINANCIAL STATEMENTS</w:t>
      </w:r>
    </w:p>
    <w:p>
      <w:pPr>
        <w:ind w:left="5240"/>
        <w:spacing w:after="0" w:line="222" w:lineRule="auto"/>
        <w:rPr>
          <w:sz w:val="20"/>
          <w:szCs w:val="20"/>
          <w:color w:val="auto"/>
        </w:rPr>
      </w:pPr>
      <w:r>
        <w:rPr>
          <w:rFonts w:ascii="Times New Roman" w:cs="Times New Roman" w:eastAsia="Times New Roman" w:hAnsi="Times New Roman"/>
          <w:sz w:val="17"/>
          <w:szCs w:val="17"/>
          <w:b w:val="1"/>
          <w:bCs w:val="1"/>
          <w:color w:val="auto"/>
        </w:rPr>
        <w:t>T1 ENERGY INC.</w:t>
      </w:r>
    </w:p>
    <w:p>
      <w:pPr>
        <w:ind w:left="3880"/>
        <w:spacing w:after="0" w:line="206" w:lineRule="auto"/>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jc w:val="center"/>
        <w:ind w:left="600"/>
        <w:spacing w:after="0" w:line="206" w:lineRule="auto"/>
        <w:rPr>
          <w:sz w:val="20"/>
          <w:szCs w:val="20"/>
          <w:color w:val="auto"/>
        </w:rPr>
      </w:pPr>
      <w:r>
        <w:rPr>
          <w:rFonts w:ascii="Times New Roman" w:cs="Times New Roman" w:eastAsia="Times New Roman" w:hAnsi="Times New Roman"/>
          <w:sz w:val="17"/>
          <w:szCs w:val="17"/>
          <w:b w:val="1"/>
          <w:bCs w:val="1"/>
          <w:i w:val="1"/>
          <w:iCs w:val="1"/>
          <w:color w:val="auto"/>
        </w:rPr>
        <w:t>(In thousands, except per share amounts)</w:t>
      </w:r>
    </w:p>
    <w:p>
      <w:pPr>
        <w:spacing w:after="0" w:line="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7"/>
        </w:trPr>
        <w:tc>
          <w:tcPr>
            <w:tcW w:w="7980" w:type="dxa"/>
            <w:vAlign w:val="bottom"/>
            <w:shd w:val="clear" w:color="auto" w:fill="CCEEFF"/>
          </w:tcPr>
          <w:p>
            <w:pPr>
              <w:ind w:left="53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182,450</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81,203</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 trade, net - related parties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84,481</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Government grants receivable, net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36,376</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116,043</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Advances to suppliers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137,532</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current assets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w:t>
            </w:r>
          </w:p>
        </w:tc>
      </w:tr>
      <w:tr>
        <w:trPr>
          <w:trHeight w:val="174"/>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Current assets of discontinued operations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19,418</w:t>
            </w:r>
          </w:p>
        </w:tc>
      </w:tr>
      <w:tr>
        <w:trPr>
          <w:trHeight w:val="181"/>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584,672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663,492</w:t>
            </w:r>
          </w:p>
        </w:tc>
      </w:tr>
      <w:tr>
        <w:trPr>
          <w:trHeight w:val="167"/>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345,956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302,302</w:t>
            </w: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57,449</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180,481</w:t>
            </w:r>
          </w:p>
        </w:tc>
      </w:tr>
      <w:tr>
        <w:trPr>
          <w:trHeight w:val="187"/>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 under operating leases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151,166</w:t>
            </w:r>
          </w:p>
        </w:tc>
      </w:tr>
      <w:tr>
        <w:trPr>
          <w:trHeight w:val="19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10,098</w:t>
            </w:r>
          </w:p>
        </w:tc>
      </w:tr>
      <w:tr>
        <w:trPr>
          <w:trHeight w:val="181"/>
        </w:trPr>
        <w:tc>
          <w:tcPr>
            <w:tcW w:w="7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assets</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1,337,078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1,372,108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47"/>
        </w:trPr>
        <w:tc>
          <w:tcPr>
            <w:tcW w:w="8240" w:type="dxa"/>
            <w:vAlign w:val="bottom"/>
            <w:gridSpan w:val="2"/>
            <w:shd w:val="clear" w:color="auto" w:fill="CCEEFF"/>
          </w:tcPr>
          <w:p>
            <w:pPr>
              <w:ind w:left="308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REDEEMABLE PREFERRED STOCK AND STOCKHOLDERS’ EQUITY</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91,323</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47,224</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56,731</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Derivative liabilities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11,661</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46,357</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 and accrued liabilities - related parties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162,754</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Current liabilities of 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56,397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47,538</w:t>
            </w:r>
          </w:p>
        </w:tc>
      </w:tr>
      <w:tr>
        <w:trPr>
          <w:trHeight w:val="167"/>
        </w:trPr>
        <w:tc>
          <w:tcPr>
            <w:tcW w:w="7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465,889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463,588</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deferred revenue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48,189</w:t>
            </w: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notes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152,960</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143,534</w:t>
            </w: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137,303</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 - related party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53,538</w:t>
            </w: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47,353</w:t>
            </w:r>
          </w:p>
        </w:tc>
      </w:tr>
      <w:tr>
        <w:trPr>
          <w:trHeight w:val="167"/>
        </w:trPr>
        <w:tc>
          <w:tcPr>
            <w:tcW w:w="7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liabilities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1,050,223</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preferred stock</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Series B convertible non-voting preferred stock, $0.01 par value, 1,600 shares issued and outstanding as of both March 31, 2026 and December 31,</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2025, respectively (includes accrued dividends of $400 and $160 as of March 31, 2026 and December 31, 2025, respectively)</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17,805</w:t>
            </w:r>
          </w:p>
        </w:tc>
      </w:tr>
      <w:tr>
        <w:trPr>
          <w:trHeight w:val="155"/>
        </w:trPr>
        <w:tc>
          <w:tcPr>
            <w:tcW w:w="79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Series B-1 convertible non-voting preferred stock, $0.01 par value, 5,000 shares issued and outstanding as of both March 31, 2026 and December</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4"/>
        </w:trPr>
        <w:tc>
          <w:tcPr>
            <w:tcW w:w="7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31, 2025, respectively (includes accrued dividends of $1,250 and $500 as of March 31, 2026 and December 31, 2025, respectively)</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53,710</w:t>
            </w:r>
          </w:p>
        </w:tc>
      </w:tr>
      <w:tr>
        <w:trPr>
          <w:trHeight w:val="18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7"/>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Common stock, $0.01 par value, 279,037 and 266,267 shares issued and outstanding as of March 31, 2026 and December 31, 2025, respectively</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1,358,278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1,358,992</w:t>
            </w:r>
          </w:p>
        </w:tc>
      </w:tr>
      <w:tr>
        <w:trPr>
          <w:trHeight w:val="174"/>
        </w:trPr>
        <w:tc>
          <w:tcPr>
            <w:tcW w:w="7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(18,213)</w:t>
            </w:r>
          </w:p>
        </w:tc>
      </w:tr>
      <w:tr>
        <w:trPr>
          <w:trHeight w:val="18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(1,113,491)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(1,093,072)</w:t>
            </w:r>
          </w:p>
        </w:tc>
      </w:tr>
      <w:tr>
        <w:trPr>
          <w:trHeight w:val="167"/>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equity</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236,702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250,370</w:t>
            </w:r>
          </w:p>
        </w:tc>
      </w:tr>
      <w:tr>
        <w:trPr>
          <w:trHeight w:val="206"/>
        </w:trPr>
        <w:tc>
          <w:tcPr>
            <w:tcW w:w="7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liabilities, redeemable preferred stock and equity</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1,337,078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1,372,108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30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 w:name="page6"/>
    <w:bookmarkEnd w:id="5"/>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T1 ENERGY INC.</w:t>
      </w:r>
    </w:p>
    <w:p>
      <w:pPr>
        <w:jc w:val="center"/>
        <w:ind w:right="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jc w:val="center"/>
        <w:ind w:right="160"/>
        <w:spacing w:after="0" w:line="206" w:lineRule="auto"/>
        <w:rPr>
          <w:sz w:val="20"/>
          <w:szCs w:val="20"/>
          <w:color w:val="auto"/>
        </w:rPr>
      </w:pPr>
      <w:r>
        <w:rPr>
          <w:rFonts w:ascii="Times New Roman" w:cs="Times New Roman" w:eastAsia="Times New Roman" w:hAnsi="Times New Roman"/>
          <w:sz w:val="17"/>
          <w:szCs w:val="17"/>
          <w:b w:val="1"/>
          <w:bCs w:val="1"/>
          <w:i w:val="1"/>
          <w:iCs w:val="1"/>
          <w:color w:val="auto"/>
        </w:rPr>
        <w:t>(In thousands, except per share amounts)</w:t>
      </w: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2800" w:type="dxa"/>
            <w:vAlign w:val="bottom"/>
            <w:tcBorders>
              <w:bottom w:val="single" w:sz="8" w:color="auto"/>
            </w:tcBorders>
            <w:gridSpan w:val="5"/>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190"/>
        </w:trPr>
        <w:tc>
          <w:tcPr>
            <w:tcW w:w="7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8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88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6"/>
                <w:szCs w:val="16"/>
                <w:color w:val="auto"/>
              </w:rPr>
            </w:pPr>
          </w:p>
        </w:tc>
      </w:tr>
      <w:tr>
        <w:trPr>
          <w:trHeight w:val="192"/>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sales - related party</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177,406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53,45</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net sales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177,647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53,45</w:t>
            </w:r>
          </w:p>
        </w:tc>
      </w:tr>
      <w:tr>
        <w:trPr>
          <w:trHeight w:val="192"/>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148,563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35,67</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29,084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17,78</w:t>
            </w:r>
          </w:p>
        </w:tc>
      </w:tr>
      <w:tr>
        <w:trPr>
          <w:trHeight w:val="172"/>
        </w:trPr>
        <w:tc>
          <w:tcPr>
            <w:tcW w:w="78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Operating expenses: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51,589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w:t>
            </w:r>
          </w:p>
        </w:tc>
      </w:tr>
      <w:tr>
        <w:trPr>
          <w:trHeight w:val="185"/>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51,589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43,37</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loss from continuing operations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(22,505)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(25,59</w:t>
            </w:r>
          </w:p>
        </w:tc>
      </w:tr>
      <w:tr>
        <w:trPr>
          <w:trHeight w:val="192"/>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Warrant liability fair value adjustment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r>
      <w:tr>
        <w:trPr>
          <w:trHeight w:val="192"/>
        </w:trPr>
        <w:tc>
          <w:tcPr>
            <w:tcW w:w="7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Derivative liabilities fair value adjustment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25,22</w:t>
            </w:r>
          </w:p>
        </w:tc>
      </w:tr>
      <w:tr>
        <w:trPr>
          <w:trHeight w:val="19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Impairment of assets previously classified as held for sale</w:t>
            </w:r>
          </w:p>
        </w:tc>
        <w:tc>
          <w:tcPr>
            <w:tcW w:w="8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92"/>
        </w:trPr>
        <w:tc>
          <w:tcPr>
            <w:tcW w:w="7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expense,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w:t>
            </w:r>
          </w:p>
        </w:tc>
      </w:tr>
      <w:tr>
        <w:trPr>
          <w:trHeight w:val="19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income, net</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5"/>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other income</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26,185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16,82</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from continuing operations before income taxes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w:t>
            </w:r>
          </w:p>
        </w:tc>
      </w:tr>
      <w:tr>
        <w:trPr>
          <w:trHeight w:val="192"/>
        </w:trPr>
        <w:tc>
          <w:tcPr>
            <w:tcW w:w="7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Income tax benefit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from continuing operations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w:t>
            </w:r>
          </w:p>
        </w:tc>
      </w:tr>
      <w:tr>
        <w:trPr>
          <w:trHeight w:val="192"/>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loss from discontinued operations, net of tax</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(24,321)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(9,97</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(20,419)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w:t>
            </w:r>
          </w:p>
        </w:tc>
      </w:tr>
      <w:tr>
        <w:trPr>
          <w:trHeight w:val="192"/>
        </w:trPr>
        <w:tc>
          <w:tcPr>
            <w:tcW w:w="7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Preferred dividends and accretion</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213"/>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(21,409)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shares outstanding:</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2"/>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of common stock outstanding - basic</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278,539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155,93</w:t>
            </w:r>
          </w:p>
        </w:tc>
      </w:tr>
      <w:tr>
        <w:trPr>
          <w:trHeight w:val="19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shares of common stock outstanding - diluted</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285,252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155,93</w:t>
            </w:r>
          </w:p>
        </w:tc>
      </w:tr>
      <w:tr>
        <w:trPr>
          <w:trHeight w:val="258"/>
        </w:trPr>
        <w:tc>
          <w:tcPr>
            <w:tcW w:w="7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0"/>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per share attributable to common stockholders: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 per share from continuing operations - basic and diluted</w:t>
            </w:r>
          </w:p>
        </w:tc>
        <w:tc>
          <w:tcPr>
            <w:tcW w:w="880" w:type="dxa"/>
            <w:vAlign w:val="bottom"/>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tcPr>
          <w:p>
            <w:pPr>
              <w:spacing w:after="0"/>
              <w:rPr>
                <w:sz w:val="18"/>
                <w:szCs w:val="18"/>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r>
      <w:tr>
        <w:trPr>
          <w:trHeight w:val="22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from discontinued operations - basic and diluted</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w:t>
            </w:r>
          </w:p>
        </w:tc>
      </w:tr>
      <w:tr>
        <w:trPr>
          <w:trHeight w:val="191"/>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Net loss per share - basic and diluted</w:t>
            </w:r>
          </w:p>
        </w:tc>
        <w:tc>
          <w:tcPr>
            <w:tcW w:w="880" w:type="dxa"/>
            <w:vAlign w:val="bottom"/>
            <w:tcBorders>
              <w:bottom w:val="single" w:sz="8" w:color="auto"/>
            </w:tcBorders>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92"/>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88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(20,419)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w:t>
            </w:r>
          </w:p>
        </w:tc>
      </w:tr>
      <w:tr>
        <w:trPr>
          <w:trHeight w:val="192"/>
        </w:trPr>
        <w:tc>
          <w:tcPr>
            <w:tcW w:w="7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26,06</w:t>
            </w:r>
          </w:p>
        </w:tc>
      </w:tr>
      <w:tr>
        <w:trPr>
          <w:trHeight w:val="18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(13,081)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r>
      <w:tr>
        <w:trPr>
          <w:trHeight w:val="192"/>
        </w:trPr>
        <w:tc>
          <w:tcPr>
            <w:tcW w:w="7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Preferred dividends and accretion</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213"/>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(loss) attributable to common stockholders</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(14,071)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152400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60"/>
          </w:cols>
          <w:pgMar w:left="1000" w:top="101" w:right="239" w:bottom="1440" w:gutter="0" w:footer="0" w:header="0"/>
        </w:sectPr>
      </w:pPr>
    </w:p>
    <w:bookmarkStart w:id="6" w:name="page7"/>
    <w:bookmarkEnd w:id="6"/>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T1 ENERGY INC.</w:t>
      </w:r>
    </w:p>
    <w:p>
      <w:pPr>
        <w:jc w:val="center"/>
        <w:ind w:right="64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ind w:left="4400"/>
        <w:spacing w:after="0" w:line="206" w:lineRule="auto"/>
        <w:rPr>
          <w:sz w:val="20"/>
          <w:szCs w:val="20"/>
          <w:color w:val="auto"/>
        </w:rPr>
      </w:pPr>
      <w:r>
        <w:rPr>
          <w:rFonts w:ascii="Times New Roman" w:cs="Times New Roman" w:eastAsia="Times New Roman" w:hAnsi="Times New Roman"/>
          <w:sz w:val="17"/>
          <w:szCs w:val="17"/>
          <w:b w:val="1"/>
          <w:bCs w:val="1"/>
          <w:i w:val="1"/>
          <w:iCs w:val="1"/>
          <w:color w:val="auto"/>
        </w:rPr>
        <w:t>(In thousands)</w:t>
      </w:r>
    </w:p>
    <w:p>
      <w:pPr>
        <w:ind w:left="47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3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gridSpan w:val="7"/>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155,928</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971,416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(725,238)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188,762</w:t>
            </w:r>
          </w:p>
        </w:tc>
        <w:tc>
          <w:tcPr>
            <w:tcW w:w="0" w:type="dxa"/>
            <w:vAlign w:val="bottom"/>
          </w:tcPr>
          <w:p>
            <w:pPr>
              <w:spacing w:after="0"/>
              <w:rPr>
                <w:sz w:val="1"/>
                <w:szCs w:val="1"/>
                <w:color w:val="auto"/>
              </w:rPr>
            </w:pPr>
          </w:p>
        </w:tc>
      </w:tr>
      <w:tr>
        <w:trPr>
          <w:trHeight w:val="186"/>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0" w:type="dxa"/>
            <w:vAlign w:val="bottom"/>
          </w:tcPr>
          <w:p>
            <w:pPr>
              <w:spacing w:after="0"/>
              <w:rPr>
                <w:sz w:val="1"/>
                <w:szCs w:val="1"/>
                <w:color w:val="auto"/>
              </w:rPr>
            </w:pPr>
          </w:p>
        </w:tc>
      </w:tr>
      <w:tr>
        <w:trPr>
          <w:trHeight w:val="186"/>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Reclassification of warrants from liability classified to equity</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classified</w:t>
            </w:r>
          </w:p>
        </w:tc>
        <w:tc>
          <w:tcPr>
            <w:tcW w:w="8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Preferred dividends and accretion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26,065</w:t>
            </w:r>
          </w:p>
        </w:tc>
        <w:tc>
          <w:tcPr>
            <w:tcW w:w="0" w:type="dxa"/>
            <w:vAlign w:val="bottom"/>
          </w:tcPr>
          <w:p>
            <w:pPr>
              <w:spacing w:after="0"/>
              <w:rPr>
                <w:sz w:val="1"/>
                <w:szCs w:val="1"/>
                <w:color w:val="auto"/>
              </w:rPr>
            </w:pPr>
          </w:p>
        </w:tc>
      </w:tr>
      <w:tr>
        <w:trPr>
          <w:trHeight w:val="18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155,938</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974,767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(741,477)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201,939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3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ind w:left="2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2026</w:t>
            </w: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266,267</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2,663</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1,358,992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(1,093,072)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250,370</w:t>
            </w:r>
          </w:p>
        </w:tc>
        <w:tc>
          <w:tcPr>
            <w:tcW w:w="0" w:type="dxa"/>
            <w:vAlign w:val="bottom"/>
          </w:tcPr>
          <w:p>
            <w:pPr>
              <w:spacing w:after="0"/>
              <w:rPr>
                <w:sz w:val="1"/>
                <w:szCs w:val="1"/>
                <w:color w:val="auto"/>
              </w:rPr>
            </w:pPr>
          </w:p>
        </w:tc>
      </w:tr>
      <w:tr>
        <w:trPr>
          <w:trHeight w:val="186"/>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(20,419)</w:t>
            </w:r>
          </w:p>
        </w:tc>
        <w:tc>
          <w:tcPr>
            <w:tcW w:w="0" w:type="dxa"/>
            <w:vAlign w:val="bottom"/>
          </w:tcPr>
          <w:p>
            <w:pPr>
              <w:spacing w:after="0"/>
              <w:rPr>
                <w:sz w:val="1"/>
                <w:szCs w:val="1"/>
                <w:color w:val="auto"/>
              </w:rPr>
            </w:pPr>
          </w:p>
        </w:tc>
      </w:tr>
      <w:tr>
        <w:trPr>
          <w:trHeight w:val="186"/>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Exercise of Penny Warrants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Issuance of stock under share-based compensation plans</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1,495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Tax withholding on stock option exercises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0" w:type="dxa"/>
            <w:vAlign w:val="bottom"/>
          </w:tcPr>
          <w:p>
            <w:pPr>
              <w:spacing w:after="0"/>
              <w:rPr>
                <w:sz w:val="1"/>
                <w:szCs w:val="1"/>
                <w:color w:val="auto"/>
              </w:rPr>
            </w:pPr>
          </w:p>
        </w:tc>
      </w:tr>
      <w:tr>
        <w:trPr>
          <w:trHeight w:val="201"/>
        </w:trPr>
        <w:tc>
          <w:tcPr>
            <w:tcW w:w="3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Issuance of shares to Trina for anti-dilution right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9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auto"/>
              </w:rPr>
              <w:t>Reclassification of warrants from liability classified to equity</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4"/>
        </w:trPr>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classified</w:t>
            </w: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Preferred dividends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87"/>
        </w:trPr>
        <w:tc>
          <w:tcPr>
            <w:tcW w:w="39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279,037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236,702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152400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480"/>
          </w:cols>
          <w:pgMar w:left="1020" w:top="101" w:right="399" w:bottom="1440" w:gutter="0" w:footer="0" w:header="0"/>
        </w:sectPr>
      </w:pPr>
    </w:p>
    <w:bookmarkStart w:id="7" w:name="page8"/>
    <w:bookmarkEnd w:id="7"/>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T1 ENERGY INC.</w:t>
      </w:r>
    </w:p>
    <w:p>
      <w:pPr>
        <w:jc w:val="center"/>
        <w:ind w:left="58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jc w:val="center"/>
        <w:ind w:left="600"/>
        <w:spacing w:after="0" w:line="206" w:lineRule="auto"/>
        <w:rPr>
          <w:sz w:val="20"/>
          <w:szCs w:val="20"/>
          <w:color w:val="auto"/>
        </w:rPr>
      </w:pPr>
      <w:r>
        <w:rPr>
          <w:rFonts w:ascii="Times New Roman" w:cs="Times New Roman" w:eastAsia="Times New Roman" w:hAnsi="Times New Roman"/>
          <w:sz w:val="17"/>
          <w:szCs w:val="17"/>
          <w:b w:val="1"/>
          <w:bCs w:val="1"/>
          <w:i w:val="1"/>
          <w:iCs w:val="1"/>
          <w:color w:val="auto"/>
        </w:rPr>
        <w:t>(In thousands)</w:t>
      </w: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0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(20,419)</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cash used in operating activities: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of assets previously classified as held for sale</w:t>
            </w:r>
          </w:p>
        </w:tc>
        <w:tc>
          <w:tcPr>
            <w:tcW w:w="4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 premium and discount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Reduction in the carrying amount of right-of-use assets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 liability fair value adjustment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trade, net - related parties</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Government grants receivable, net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Advances to suppliers and other current assets</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return of property and equipment deposits</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Senior Secured Credit Facility</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 of Penny Warrants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4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changes in foreign exchange rates on cash, cash equivalents, and restricted cash</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 w:type="dxa"/>
            <w:vAlign w:val="bottom"/>
          </w:tcPr>
          <w:p>
            <w:pPr>
              <w:spacing w:after="0"/>
              <w:rPr>
                <w:sz w:val="17"/>
                <w:szCs w:val="17"/>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condensed consolidated balance sheets: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20" w:type="dxa"/>
            <w:vAlign w:val="bottom"/>
          </w:tcPr>
          <w:p>
            <w:pPr>
              <w:spacing w:after="0"/>
              <w:rPr>
                <w:sz w:val="13"/>
                <w:szCs w:val="13"/>
                <w:color w:val="auto"/>
              </w:rPr>
            </w:pPr>
          </w:p>
        </w:tc>
        <w:tc>
          <w:tcPr>
            <w:tcW w:w="8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77,298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804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Cash, cash equivalents, and restricted cash</w:t>
            </w:r>
          </w:p>
        </w:tc>
        <w:tc>
          <w:tcPr>
            <w:tcW w:w="400" w:type="dxa"/>
            <w:vAlign w:val="bottom"/>
          </w:tcPr>
          <w:p>
            <w:pPr>
              <w:jc w:val="right"/>
              <w:ind w:right="222"/>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123,665</w:t>
            </w:r>
          </w:p>
        </w:tc>
        <w:tc>
          <w:tcPr>
            <w:tcW w:w="100" w:type="dxa"/>
            <w:vAlign w:val="bottom"/>
          </w:tcPr>
          <w:p>
            <w:pPr>
              <w:spacing w:after="0"/>
              <w:rPr>
                <w:sz w:val="15"/>
                <w:szCs w:val="15"/>
                <w:color w:val="auto"/>
              </w:rPr>
            </w:pPr>
          </w:p>
        </w:tc>
        <w:tc>
          <w:tcPr>
            <w:tcW w:w="360" w:type="dxa"/>
            <w:vAlign w:val="bottom"/>
          </w:tcPr>
          <w:p>
            <w:pPr>
              <w:jc w:val="right"/>
              <w:ind w:right="182"/>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620" w:type="dxa"/>
            <w:vAlign w:val="bottom"/>
          </w:tcPr>
          <w:p>
            <w:pPr>
              <w:spacing w:after="0"/>
              <w:rPr>
                <w:sz w:val="5"/>
                <w:szCs w:val="5"/>
                <w:color w:val="auto"/>
              </w:rPr>
            </w:pPr>
          </w:p>
        </w:tc>
        <w:tc>
          <w:tcPr>
            <w:tcW w:w="8440" w:type="dxa"/>
            <w:vAlign w:val="bottom"/>
            <w:gridSpan w:val="2"/>
            <w:vMerge w:val="restart"/>
          </w:tcPr>
          <w:p>
            <w:pPr>
              <w:jc w:val="center"/>
              <w:ind w:left="2122"/>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0" w:type="dxa"/>
            <w:vAlign w:val="bottom"/>
          </w:tcPr>
          <w:p>
            <w:pPr>
              <w:spacing w:after="0"/>
              <w:rPr>
                <w:sz w:val="12"/>
                <w:szCs w:val="12"/>
                <w:color w:val="auto"/>
              </w:rPr>
            </w:pPr>
          </w:p>
        </w:tc>
        <w:tc>
          <w:tcPr>
            <w:tcW w:w="84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8"/>
        </w:trPr>
        <w:tc>
          <w:tcPr>
            <w:tcW w:w="8660" w:type="dxa"/>
            <w:vAlign w:val="bottom"/>
            <w:gridSpan w:val="2"/>
          </w:tcPr>
          <w:p>
            <w:pPr>
              <w:jc w:val="right"/>
              <w:ind w:right="2602"/>
              <w:spacing w:after="0"/>
              <w:rPr>
                <w:sz w:val="20"/>
                <w:szCs w:val="20"/>
                <w:color w:val="auto"/>
              </w:rPr>
            </w:pPr>
            <w:r>
              <w:rPr>
                <w:rFonts w:ascii="Times New Roman" w:cs="Times New Roman" w:eastAsia="Times New Roman" w:hAnsi="Times New Roman"/>
                <w:sz w:val="17"/>
                <w:szCs w:val="17"/>
                <w:color w:val="auto"/>
              </w:rPr>
              <w:t>4</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9A9A9A"/>
            </w:tcBorders>
          </w:tcPr>
          <w:p>
            <w:pPr>
              <w:spacing w:after="0"/>
              <w:rPr>
                <w:sz w:val="20"/>
                <w:szCs w:val="20"/>
                <w:color w:val="auto"/>
              </w:rPr>
            </w:pPr>
          </w:p>
        </w:tc>
        <w:tc>
          <w:tcPr>
            <w:tcW w:w="804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-852805</wp:posOffset>
            </wp:positionV>
            <wp:extent cx="6804660" cy="172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4660" cy="172085"/>
                    </a:xfrm>
                    <a:prstGeom prst="rect">
                      <a:avLst/>
                    </a:prstGeom>
                    <a:noFill/>
                  </pic:spPr>
                </pic:pic>
              </a:graphicData>
            </a:graphic>
          </wp:anchor>
        </w:drawing>
      </w:r>
    </w:p>
    <w:p>
      <w:pPr>
        <w:sectPr>
          <w:pgSz w:w="11900" w:h="16838" w:orient="portrait"/>
          <w:cols w:equalWidth="0" w:num="1">
            <w:col w:w="11340"/>
          </w:cols>
          <w:pgMar w:left="320" w:top="101" w:right="239" w:bottom="1440" w:gutter="0" w:footer="0" w:header="0"/>
        </w:sectPr>
      </w:pPr>
    </w:p>
    <w:bookmarkStart w:id="8" w:name="page9"/>
    <w:bookmarkEnd w:id="8"/>
    <w:p>
      <w:pPr>
        <w:ind w:right="1940" w:firstLine="2569"/>
        <w:spacing w:after="0" w:line="474" w:lineRule="auto"/>
        <w:rPr>
          <w:sz w:val="20"/>
          <w:szCs w:val="20"/>
          <w:color w:val="auto"/>
        </w:rPr>
      </w:pPr>
      <w:r>
        <w:rPr>
          <w:rFonts w:ascii="Times New Roman" w:cs="Times New Roman" w:eastAsia="Times New Roman" w:hAnsi="Times New Roman"/>
          <w:sz w:val="17"/>
          <w:szCs w:val="17"/>
          <w:b w:val="1"/>
          <w:bCs w:val="1"/>
          <w:color w:val="auto"/>
        </w:rPr>
        <w:t xml:space="preserve">NOTES TO UNAUDITED CONDENSED CONSOLIDATED FINANCIAL STATEMENTS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b w:val="1"/>
          <w:bCs w:val="1"/>
          <w:color w:val="auto"/>
        </w:rPr>
        <w:t>. SUMMARY OF SIGNIFICANT ACCOUNTING POLICIES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Description of the Business</w:t>
      </w:r>
    </w:p>
    <w:p>
      <w:pPr>
        <w:spacing w:after="0" w:line="21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T1 Energy Inc. (“T1”, the “Company”, “we”, or “us”) is an energy solutions provider building an integrated U.S. solar supply chain for solar modules and cells. We manufacture and sell photovoltaic (“PV”) solar modules in the United States.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one of the leading solar manufacturing companies in the United States, primarily selling into the utility-scale market, the largest solar market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above its nameplate capacity. To further expand our U.S. manufacturing footprint, we began construction in December 2025 of the first 2.1-gigawatt phase of our solar cell manufacturing fab in Milam County, Texas (“G2_Austin”). This facility is anticipated to begin production by the end of 2026 of high-efficiency TOPCon solar cells that will be used in the PV solar modules manufactured at G1_Dallas.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Our unaudited condensed consolidated interim financial statements have been prepared in conformity with the accounting principles generally accepted in the U.S. (“U.S. GAAP”) for interim financial information and with the instructions to Form 10-Q and Article 10 of U.S. Securities and Exchange Commission</w:t>
      </w:r>
    </w:p>
    <w:p>
      <w:pPr>
        <w:jc w:val="both"/>
        <w:spacing w:after="0" w:line="229" w:lineRule="auto"/>
        <w:rPr>
          <w:sz w:val="20"/>
          <w:szCs w:val="20"/>
          <w:color w:val="auto"/>
        </w:rPr>
      </w:pPr>
      <w:r>
        <w:rPr>
          <w:rFonts w:ascii="Times New Roman" w:cs="Times New Roman" w:eastAsia="Times New Roman" w:hAnsi="Times New Roman"/>
          <w:sz w:val="17"/>
          <w:szCs w:val="17"/>
          <w:color w:val="auto"/>
        </w:rPr>
        <w:t>(“SEC”) Regulation S-X. Accordingly, these financial statements do not include all of the information required by U.S. GAAP for complete consolidated financial statements.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unaudited condensed consolidated interim financial statements have been prepared on the same basis as the audited annual consolidated financial</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statements for the year ended December 31, 2025 and, in management’s opinion, include all adjustments, consisting of only normal recurring adjustments necessary for the fair statement of our unaudited condensed consolidated financial statements for the periods presented. The results of operations for the three months ended March 31, 2026, are not necessarily indicative of the results to be expected for the full year ending December 31, 2026. Our unaudited condensed consolidated balance sheet as of December 31, 2025, was derived from the audited consolidated financial statements as of December 31, 2025. However, these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unaudited condensed consolidated interim financial statements do not contain all of the footnote disclosures required in annual consolidated financial statements. These unaudited condensed consolidated interim financial statements should be read in conjunction with the audited consolidated financial statements and the related notes included in the Company’s Annual Report on Form 10-K for the year ended December 31, 2025 filed with the SEC on March 31, 2026,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supplemented by Amendment No. 1 on Form 10-K/A filed with the SEC on April 30, 2026.</w:t>
      </w:r>
    </w:p>
    <w:p>
      <w:pPr>
        <w:spacing w:after="0" w:line="187"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Our unaudited condensed consolidated financial statements include the accounts of T1, its wholly owned subsidiaries, majority-owned subsidiaries, and variable interest entities (“VIEs”) of which we are the primary beneficiary. All intercompany accounts and transactions have been eliminated. Certain prior period</w:t>
      </w:r>
    </w:p>
    <w:p>
      <w:pPr>
        <w:jc w:val="both"/>
        <w:spacing w:after="0" w:line="229" w:lineRule="auto"/>
        <w:rPr>
          <w:sz w:val="20"/>
          <w:szCs w:val="20"/>
          <w:color w:val="auto"/>
        </w:rPr>
      </w:pPr>
      <w:r>
        <w:rPr>
          <w:rFonts w:ascii="Times New Roman" w:cs="Times New Roman" w:eastAsia="Times New Roman" w:hAnsi="Times New Roman"/>
          <w:sz w:val="17"/>
          <w:szCs w:val="17"/>
          <w:color w:val="auto"/>
        </w:rPr>
        <w:t>balances and amounts have been reclassified to conform with the current year’s presentation in our unaudited condensed consolidated financial statements and the accompanying notes.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Held for Sale and Discontinued Operations</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 disposed of by means other than a sale and thus no longer met the criteria for classification as held for sale. There were no reclassifications as of and for the three months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March 31, 2026.</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Upon reclassification, these assets were measured at the lower of (i) their carrying amount prior to classification as held for sale, adjusted for depreciation, amortization and impairment that would have been recognized had the assets remained classified as held and used, or (ii) their fair value at the date</w:t>
      </w:r>
    </w:p>
    <w:p>
      <w:pPr>
        <w:spacing w:after="0"/>
        <w:rPr>
          <w:sz w:val="20"/>
          <w:szCs w:val="20"/>
          <w:color w:val="auto"/>
        </w:rPr>
      </w:pPr>
      <w:r>
        <w:rPr>
          <w:rFonts w:ascii="Times New Roman" w:cs="Times New Roman" w:eastAsia="Times New Roman" w:hAnsi="Times New Roman"/>
          <w:sz w:val="17"/>
          <w:szCs w:val="17"/>
          <w:color w:val="auto"/>
        </w:rPr>
        <w:t>of the reclassification.</w:t>
      </w:r>
    </w:p>
    <w:p>
      <w:pPr>
        <w:spacing w:after="0" w:line="11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Based on this assessment, the carrying amounts of the assets and liabilities for the European businesses that were reclassified from discontinued operations to held and used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9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0"/>
        </w:trPr>
        <w:tc>
          <w:tcPr>
            <w:tcW w:w="9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r>
      <w:tr>
        <w:trPr>
          <w:trHeight w:val="22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Right-of-use asset under operating leases</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w:t>
            </w:r>
          </w:p>
        </w:tc>
      </w:tr>
      <w:tr>
        <w:trPr>
          <w:trHeight w:val="20"/>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9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0"/>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20"/>
        </w:trPr>
        <w:tc>
          <w:tcPr>
            <w:tcW w:w="9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6,979</w:t>
            </w:r>
          </w:p>
        </w:tc>
      </w:tr>
      <w:tr>
        <w:trPr>
          <w:trHeight w:val="22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10,927</w:t>
            </w: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376"/>
        </w:trPr>
        <w:tc>
          <w:tcPr>
            <w:tcW w:w="1124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The results of operations for the European businesses that were reclassified from discontinued operations to continuing operations were as follows (in</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23"/>
        </w:trPr>
        <w:tc>
          <w:tcPr>
            <w:tcW w:w="9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9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March 31,</w:t>
            </w:r>
          </w:p>
        </w:tc>
      </w:tr>
      <w:tr>
        <w:trPr>
          <w:trHeight w:val="215"/>
        </w:trPr>
        <w:tc>
          <w:tcPr>
            <w:tcW w:w="9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0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0"/>
        </w:trPr>
        <w:tc>
          <w:tcPr>
            <w:tcW w:w="9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w:t>
            </w:r>
          </w:p>
        </w:tc>
      </w:tr>
      <w:tr>
        <w:trPr>
          <w:trHeight w:val="22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of assets previously classified as held for sale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45"/>
        </w:trPr>
        <w:tc>
          <w:tcPr>
            <w:tcW w:w="9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2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(expense) income: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0"/>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(expense)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45"/>
        </w:trPr>
        <w:tc>
          <w:tcPr>
            <w:tcW w:w="9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r>
      <w:tr>
        <w:trPr>
          <w:trHeight w:val="23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accordance with U.S. GAAP requires management to make estimates and assumptions that affect the amounts reported in the unaudited condensed consolidated financial statements and accompanying notes. Estimates and assumptions</w:t>
      </w:r>
    </w:p>
    <w:p>
      <w:pPr>
        <w:jc w:val="both"/>
        <w:spacing w:after="0" w:line="221" w:lineRule="auto"/>
        <w:rPr>
          <w:sz w:val="20"/>
          <w:szCs w:val="20"/>
          <w:color w:val="auto"/>
        </w:rPr>
      </w:pPr>
      <w:r>
        <w:rPr>
          <w:rFonts w:ascii="Times New Roman" w:cs="Times New Roman" w:eastAsia="Times New Roman" w:hAnsi="Times New Roman"/>
          <w:sz w:val="17"/>
          <w:szCs w:val="17"/>
          <w:color w:val="auto"/>
        </w:rPr>
        <w:t>include, but are not limited to, estimates related to the fair value less costs to sell for assets held for sale, impairment of long-lived assets, purchase price allocation adjustments, the valuation of warrant liabilities, anti-dilution right and share-based compensation. We base these estimates on historical experiences and on various other assumptions that we believe are reasonable under the circumstances, however, actual results may differ materially from these estimates.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We are subject to those risks common to our business and industry and also those risks common to early-stage development companies. These risks include those disclosed in Part I, Item 1A, "”Risk Factors” in our Annual Report on Form 10-K for the year ended December 31, 2025 filed with the SEC on</w:t>
      </w:r>
    </w:p>
    <w:p>
      <w:pPr>
        <w:jc w:val="both"/>
        <w:spacing w:after="0" w:line="229" w:lineRule="auto"/>
        <w:rPr>
          <w:sz w:val="20"/>
          <w:szCs w:val="20"/>
          <w:color w:val="auto"/>
        </w:rPr>
      </w:pPr>
      <w:r>
        <w:rPr>
          <w:rFonts w:ascii="Times New Roman" w:cs="Times New Roman" w:eastAsia="Times New Roman" w:hAnsi="Times New Roman"/>
          <w:sz w:val="17"/>
          <w:szCs w:val="17"/>
          <w:color w:val="auto"/>
        </w:rPr>
        <w:t>March 31, 2026, as amended and supplemented by Amendment No. 1 on Form 10-K/A filed with the SEC on April 30, 2026, as well as the risks described in Part II, Item 1A, “Risk Factors” in this Quarterly Report on Form 10-Q.</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unaudited condensed consolidated financial statements have been prepared by management in accordance with U.S. GAAP and this basis assumes</w:t>
      </w:r>
    </w:p>
    <w:p>
      <w:pPr>
        <w:spacing w:after="0" w:line="3"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7"/>
          <w:szCs w:val="17"/>
          <w:color w:val="auto"/>
        </w:rPr>
        <w:t>that we will continue as a going concern, which contemplates the realization of assets and the satisfaction of liabilities and commitments in the normal course of business. As of the date of this Report, we believe that our existing cash resources, which were primarily provided by operations and offerings of debt and equity securities, are sufficient to support our planned operations for at least the next 12 months from the date of issuance of these financial statements. Therefore, our financial statements have been prepared on the basis that we will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Concentration of Risks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Customer Concentration Risk</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One customer accounted for approximately 100% of our total net sales for the three months ended March 31, 2026 and 2025 and 100% of our aggregate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trade accounts receivable, net as of March 31, 2026 and December 31, 2025. We are substantially dependent on a single customer, and the loss of this significant customer could have a material adverse effect on the Company’s results of operations and financial condition. Refer to Note 13 – Related Party Transactions for further details.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Supplier Concentration Risk</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Several of our key raw materials, components, and manufacturing equipment are sourced from highly specialized suppliers. The failure of any key supplier to perform could disrupt our supply chain and impair our ability to deliver PV solar modules to customers in the required quality, quantities, and pricing,</w:t>
      </w:r>
    </w:p>
    <w:p>
      <w:pPr>
        <w:spacing w:after="0"/>
        <w:rPr>
          <w:sz w:val="20"/>
          <w:szCs w:val="20"/>
          <w:color w:val="auto"/>
        </w:rPr>
      </w:pPr>
      <w:r>
        <w:rPr>
          <w:rFonts w:ascii="Times New Roman" w:cs="Times New Roman" w:eastAsia="Times New Roman" w:hAnsi="Times New Roman"/>
          <w:sz w:val="17"/>
          <w:szCs w:val="17"/>
          <w:color w:val="auto"/>
        </w:rPr>
        <w:t>which could adversely affect our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Production Concentration Risk</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PV solar modules are currently produced at a single facility in the United States. Shortages of essential components or equipment due to increased</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demand, supply interruptions, or limited logistics availability could adversely affect our ability to meet customer demand. Damage to, or disruption of, this facility could interrupt operations and negatively impact our ability to generate net sales.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14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Financial instruments that are potentially subject to credit risk consist of cash and cash equivalents and restricted cash. Our cash and cash equivalents and restricted cash are placed with major financial institutions. We have not experienced any credit loss related to our cash and cash equivalents and restricted cash.</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 Information</w:t>
            </w: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36"/>
        </w:trPr>
        <w:tc>
          <w:tcPr>
            <w:tcW w:w="7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Cash flow activity consisted of the following (in thousands):</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4"/>
        </w:trPr>
        <w:tc>
          <w:tcPr>
            <w:tcW w:w="706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r>
      <w:tr>
        <w:trPr>
          <w:trHeight w:val="213"/>
        </w:trPr>
        <w:tc>
          <w:tcPr>
            <w:tcW w:w="70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0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payments included in operating activities:</w:t>
            </w: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0"/>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paid</w:t>
            </w:r>
          </w:p>
        </w:tc>
        <w:tc>
          <w:tcPr>
            <w:tcW w:w="134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2,969</w:t>
            </w:r>
          </w:p>
        </w:tc>
        <w:tc>
          <w:tcPr>
            <w:tcW w:w="120" w:type="dxa"/>
            <w:vAlign w:val="bottom"/>
          </w:tcPr>
          <w:p>
            <w:pPr>
              <w:spacing w:after="0"/>
              <w:rPr>
                <w:sz w:val="19"/>
                <w:szCs w:val="19"/>
                <w:color w:val="auto"/>
              </w:rPr>
            </w:pPr>
          </w:p>
        </w:tc>
        <w:tc>
          <w:tcPr>
            <w:tcW w:w="134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w:t>
            </w: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Right-of-use assets obtained in exchange for lease liabilities</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44,668</w:t>
            </w:r>
          </w:p>
        </w:tc>
      </w:tr>
      <w:tr>
        <w:trPr>
          <w:trHeight w:val="220"/>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purchases of property and equipment</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21,255</w:t>
            </w: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Reclassification of warrants from liability classified to equity classified</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14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As of March 31, 2026 and December 31, 2025, we recorded an allowance for credit losses of $5.6 million and $5.6 million, respectively, related to trade accounts receivable.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Revenue</w:t>
      </w:r>
    </w:p>
    <w:p>
      <w:pPr>
        <w:spacing w:after="0" w:line="14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During the three months ended March 31, 2026 and 2025, we recognized revenue related to deliveries of PV solar modules of $52.2 million and $31.8 million, respectively, that was included in deferred revenue at the beginning of each respective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 – Module Sales</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Substantially all of our revenues are from sales in the United States. As of March 31, 2026, we had entered into contracts with customers for the future sale of 2.3 gigawatts of PV solar modules. We expect to recognize sales of 2.3 gigawatts of PV solar modules in 2026, with incremental sales of 1.0 gigawatts of PV solar modules in subsequent years through 2029 for these contracts as we transfer control of the PV solar modules to the customer. These contracts are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generally priced on a per-watt basis, subject to true-up adjustments, and require prepayment of 50% of the forecasted purchase price prior to the start of each quarter, with the remaining 50% due under customary 30-day payment terms upon transfer of control. These contracts may also be subject to amendments as agreed to by the parties to the contracts which may increase or decrease the volume of the PV solar modules or change delivery schedules.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Equity Investments Without Readily Determinable Fair Values</w:t>
      </w:r>
    </w:p>
    <w:p>
      <w:pPr>
        <w:spacing w:after="0" w:line="132"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In October 2025, the Company entered into a Simple Agreement for Future Equity (“SAFE”) with a privately held company, Talon PV, LLC (the “Issuer”). Under the terms of the SAFE, the Company provided $5.0 million in cash in exchange for the right to receive equity in the Issuer upon the occurrence of certain future events, including a qualified equity financing, liquidity event, or dissolution event. The Company evaluated the terms of the SAFE, and concluded the SAFE represents an equity interest in a privately held entity without a readily determinable fair value. As of March 31, 2026 and December 31, 2025, no observable price changes or impairment indicators were identified. Accordingly, the carrying value of the SAFE investment was $5.0 million as of both March 31, 2026 and December 31, 2025, which is included in other assets on our unaudited condensed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Swaps</w:t>
      </w:r>
    </w:p>
    <w:p>
      <w:pPr>
        <w:spacing w:after="0" w:line="144" w:lineRule="exact"/>
        <w:rPr>
          <w:sz w:val="20"/>
          <w:szCs w:val="20"/>
          <w:color w:val="auto"/>
        </w:rPr>
      </w:pPr>
    </w:p>
    <w:p>
      <w:pPr>
        <w:jc w:val="both"/>
        <w:ind w:firstLine="620"/>
        <w:spacing w:after="0" w:line="178" w:lineRule="exact"/>
        <w:rPr>
          <w:sz w:val="20"/>
          <w:szCs w:val="20"/>
          <w:color w:val="auto"/>
        </w:rPr>
      </w:pPr>
      <w:r>
        <w:rPr>
          <w:rFonts w:ascii="Times New Roman" w:cs="Times New Roman" w:eastAsia="Times New Roman" w:hAnsi="Times New Roman"/>
          <w:sz w:val="17"/>
          <w:szCs w:val="17"/>
          <w:color w:val="auto"/>
        </w:rPr>
        <w:t>The Company uses certain interest rate swap agreements to manage exposure to variability in cash flows arising from changes in interest rates on its variable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rate debt obligations. These instruments are accounted for as derivative assets or liabilities in accordance with Accounting Standards Codification (“ASC”) 815 and recorded in the consolidated balance sheets at fair value, with changes in fair value recognized in earnings. The fair value of the interest rate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swaps reflects a $0.7 million gain and $0.1 million gain for the three months ended March 31, 2026 and 2025, respectively, which is recognized in other income, net in the unaudited condensed consolidated statements of operations and comprehensive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Accounting Pronouncements</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Accounting Standards Update (“ASU”) 2024-04, Debt—Debt with Conversion and Other Options. This standard provides guidance on the accounting treatment for induced conversions of convertible debt. Companies must recognize and measure the impact of incentives offered to induce early conversion of convertible debt separately from existing debt liability. For public business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entities, the ASU is effective for fiscal years beginning after December 15, 2025, with early adoption permitted. We adopted this standard on January 1, 2026 and determined there was no impact on our unaudited condensed consolidated financial statements.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July 2025, the FASB issued ASU 2025-05, Financial Instruments—Credit Losses (Topic 326): Measurement of Credit Losses for Accounts Receivable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and Contract Assets, to address challenges encountered when applying the guidance in Topic 326 to current accounts receivable and current contract assets arising from transactions accounted for under Topic 606. This standard introduces a practical expedient for entities that assumes that current conditions as of the balance sheet date do not change for the remaining life of the asset. This standard is effective for annual periods, including interim reporting periods within annual</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reporting periods, beginning after December 15, 2025, with early adoption permitted. We adopted this standard on January 1, 2026 and determined there was no impact on our unaudited condensed consolidated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Adoption of New Accounting Pronouncements</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beginning after December 15, 2026, and interim reporting periods beginning after December 15, 2027. Early adoption is permitted. This standard only modifies disclosure requirements; as such, we do not expect the adoption of this standard to result in a material impact on our consolidated statements of operations and comprehensive loss, balance sheet or cash flows. We are currently evaluating the effect of the adoption of this standard on our unaudited condensed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and related disclosures.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December 2025, the FASB issued ASU 2025-10, Government Grants (Topic 832): Accounting for Government Grants Received by Business Entities, to establish guidance on the recognition, measurement, and presentation of government grants received by business entities, which largely codifies our current</w:t>
      </w:r>
    </w:p>
    <w:p>
      <w:pPr>
        <w:jc w:val="both"/>
        <w:spacing w:after="0" w:line="211" w:lineRule="auto"/>
        <w:rPr>
          <w:sz w:val="20"/>
          <w:szCs w:val="20"/>
          <w:color w:val="auto"/>
        </w:rPr>
      </w:pPr>
      <w:r>
        <w:rPr>
          <w:rFonts w:ascii="Times New Roman" w:cs="Times New Roman" w:eastAsia="Times New Roman" w:hAnsi="Times New Roman"/>
          <w:sz w:val="17"/>
          <w:szCs w:val="17"/>
          <w:color w:val="auto"/>
        </w:rPr>
        <w:t>approach to accounting for such grants. ASU 2025-10 is effective for public companies for annual reporting periods beginning after December 15, 2028 and interim reporting periods within those annual reporting periods. Early adoption is permitted. The guidance can be applied on a modified prospective basis, a modified retrospective basis, or a full retrospective basis. We are currently evaluating these options. We are currently evaluating the effect of the adoption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standard on our unaudited condensed consolidated financial statements and related disclosures and do not expect this ASU to have a material impact.</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The ASU clarifies interim disclosure requirements and the applicability of Topic 270. The objective of the amendments is to provide further clarity about the current interim disclosure requirements.</w:t>
      </w:r>
    </w:p>
    <w:p>
      <w:pPr>
        <w:jc w:val="both"/>
        <w:spacing w:after="0" w:line="221" w:lineRule="auto"/>
        <w:rPr>
          <w:sz w:val="20"/>
          <w:szCs w:val="20"/>
          <w:color w:val="auto"/>
        </w:rPr>
      </w:pPr>
      <w:r>
        <w:rPr>
          <w:rFonts w:ascii="Times New Roman" w:cs="Times New Roman" w:eastAsia="Times New Roman" w:hAnsi="Times New Roman"/>
          <w:sz w:val="17"/>
          <w:szCs w:val="17"/>
          <w:color w:val="auto"/>
        </w:rPr>
        <w:t>The ASU is effective for interim reporting periods within annual reporting periods beginning after December 15, 2027. Adoption of this ASU can be applied either on a prospective or a retrospective approach. Early adoption is permitted. We are currently evaluating the effect of the adoption of this standard on our unaudited condensed consolidated financial statements and related disclosures and do not expect this ASU to have a material impact.</w:t>
      </w:r>
    </w:p>
    <w:p>
      <w:pPr>
        <w:spacing w:after="0" w:line="73" w:lineRule="exact"/>
        <w:rPr>
          <w:sz w:val="20"/>
          <w:szCs w:val="20"/>
          <w:color w:val="auto"/>
        </w:rPr>
      </w:pPr>
    </w:p>
    <w:p>
      <w:pPr>
        <w:jc w:val="both"/>
        <w:ind w:firstLine="620"/>
        <w:spacing w:after="0" w:line="216" w:lineRule="exact"/>
        <w:rPr>
          <w:sz w:val="20"/>
          <w:szCs w:val="20"/>
          <w:color w:val="auto"/>
        </w:rPr>
      </w:pPr>
      <w:r>
        <w:rPr>
          <w:rFonts w:ascii="Times New Roman" w:cs="Times New Roman" w:eastAsia="Times New Roman" w:hAnsi="Times New Roman"/>
          <w:sz w:val="17"/>
          <w:szCs w:val="17"/>
          <w:color w:val="auto"/>
        </w:rPr>
        <w:t>In March 2025, the FASB issued ASU 2025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12, Codification Improvements, which includes various narrow amendments to clarify guidance, correct inconsistencies, and enhance the overall usability of the FASB Accounting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2" w:name="page13"/>
    <w:bookmarkEnd w:id="12"/>
    <w:p>
      <w:pPr>
        <w:jc w:val="both"/>
        <w:spacing w:after="0" w:line="178" w:lineRule="exact"/>
        <w:rPr>
          <w:sz w:val="20"/>
          <w:szCs w:val="20"/>
          <w:color w:val="auto"/>
        </w:rPr>
      </w:pPr>
      <w:r>
        <w:rPr>
          <w:rFonts w:ascii="Times New Roman" w:cs="Times New Roman" w:eastAsia="Times New Roman" w:hAnsi="Times New Roman"/>
          <w:sz w:val="17"/>
          <w:szCs w:val="17"/>
          <w:color w:val="auto"/>
        </w:rPr>
        <w:t>Standards Codification (“ASC”). The amendments span multiple Topics, including earnings per share, leases, beneficial interests, transfers and servicing, and equity transactions, among others. The standard does not introduce new accounting models and is not expected to result in significant changes to current accounting practices for most entities. ASU 2025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12 is effective for fiscal years beginning after December 15, 2026, including interim periods within those fiscal</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years. Amendments related to earnings per share must be applied retrospectively, while all other amendments may be applied either prospectively or retrospectively. Early adoption is permitted. We are currently evaluating the effect of the adoption of this standard on our unaudited condensed consolidated financial statements and related disclosures.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 INVENTORY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7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Inventory consisted of the following (in thousands):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00" w:type="dxa"/>
            <w:vAlign w:val="bottom"/>
            <w:tcBorders>
              <w:top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111,005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Spare parts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Work-in-process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Finished goods - PV solar modules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128,941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3. PROPERTY AND EQUIPMENT, NET</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195,939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193,659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117,022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84,328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404,818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347,409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(58,862)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(45,107)</w:t>
            </w:r>
          </w:p>
        </w:tc>
        <w:tc>
          <w:tcPr>
            <w:tcW w:w="0" w:type="dxa"/>
            <w:vAlign w:val="bottom"/>
          </w:tcPr>
          <w:p>
            <w:pPr>
              <w:spacing w:after="0"/>
              <w:rPr>
                <w:sz w:val="1"/>
                <w:szCs w:val="1"/>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345,956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302,302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2025, certain amounts related to our European businesses that had previously been classified as held for sale as of</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$13.8 million and $3.5 million for the three months ended March 31, 2026 and 2025,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 INTANGIBLE ASSETS, NET</w:t>
            </w: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89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Intangible assets, net consisted of the following (in thousands):</w:t>
            </w:r>
          </w:p>
        </w:tc>
        <w:tc>
          <w:tcPr>
            <w:tcW w:w="280" w:type="dxa"/>
            <w:vAlign w:val="bottom"/>
          </w:tcPr>
          <w:p>
            <w:pPr>
              <w:spacing w:after="0"/>
              <w:rPr>
                <w:sz w:val="24"/>
                <w:szCs w:val="24"/>
                <w:color w:val="auto"/>
              </w:rPr>
            </w:pPr>
          </w:p>
        </w:tc>
        <w:tc>
          <w:tcPr>
            <w:tcW w:w="20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Customer contracts</w:t>
            </w:r>
          </w:p>
        </w:tc>
        <w:tc>
          <w:tcPr>
            <w:tcW w:w="0" w:type="dxa"/>
            <w:vAlign w:val="bottom"/>
          </w:tcPr>
          <w:p>
            <w:pPr>
              <w:spacing w:after="0"/>
              <w:rPr>
                <w:sz w:val="1"/>
                <w:szCs w:val="1"/>
                <w:color w:val="auto"/>
              </w:rPr>
            </w:pPr>
          </w:p>
        </w:tc>
      </w:tr>
      <w:tr>
        <w:trPr>
          <w:trHeight w:val="219"/>
        </w:trPr>
        <w:tc>
          <w:tcPr>
            <w:tcW w:w="8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2026</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180,481</w:t>
            </w:r>
          </w:p>
        </w:tc>
        <w:tc>
          <w:tcPr>
            <w:tcW w:w="0" w:type="dxa"/>
            <w:vAlign w:val="bottom"/>
          </w:tcPr>
          <w:p>
            <w:pPr>
              <w:spacing w:after="0"/>
              <w:rPr>
                <w:sz w:val="1"/>
                <w:szCs w:val="1"/>
                <w:color w:val="auto"/>
              </w:rPr>
            </w:pPr>
          </w:p>
        </w:tc>
      </w:tr>
      <w:tr>
        <w:trPr>
          <w:trHeight w:val="220"/>
        </w:trPr>
        <w:tc>
          <w:tcPr>
            <w:tcW w:w="8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7"/>
                <w:szCs w:val="17"/>
                <w:color w:val="auto"/>
                <w:w w:val="99"/>
              </w:rPr>
              <w:t>(11,350)</w:t>
            </w:r>
          </w:p>
        </w:tc>
        <w:tc>
          <w:tcPr>
            <w:tcW w:w="0" w:type="dxa"/>
            <w:vAlign w:val="bottom"/>
          </w:tcPr>
          <w:p>
            <w:pPr>
              <w:spacing w:after="0"/>
              <w:rPr>
                <w:sz w:val="1"/>
                <w:szCs w:val="1"/>
                <w:color w:val="auto"/>
              </w:rPr>
            </w:pPr>
          </w:p>
        </w:tc>
      </w:tr>
      <w:tr>
        <w:trPr>
          <w:trHeight w:val="23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2026</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169,131</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annual amortization expense is estimated to be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34,050</w:t>
            </w:r>
          </w:p>
        </w:tc>
        <w:tc>
          <w:tcPr>
            <w:tcW w:w="0" w:type="dxa"/>
            <w:vAlign w:val="bottom"/>
          </w:tcPr>
          <w:p>
            <w:pPr>
              <w:spacing w:after="0"/>
              <w:rPr>
                <w:sz w:val="1"/>
                <w:szCs w:val="1"/>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45,400</w:t>
            </w:r>
          </w:p>
        </w:tc>
        <w:tc>
          <w:tcPr>
            <w:tcW w:w="0" w:type="dxa"/>
            <w:vAlign w:val="bottom"/>
          </w:tcPr>
          <w:p>
            <w:pPr>
              <w:spacing w:after="0"/>
              <w:rPr>
                <w:sz w:val="1"/>
                <w:szCs w:val="1"/>
                <w:color w:val="auto"/>
              </w:rPr>
            </w:pP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45,400</w:t>
            </w:r>
          </w:p>
        </w:tc>
        <w:tc>
          <w:tcPr>
            <w:tcW w:w="0" w:type="dxa"/>
            <w:vAlign w:val="bottom"/>
          </w:tcPr>
          <w:p>
            <w:pPr>
              <w:spacing w:after="0"/>
              <w:rPr>
                <w:sz w:val="1"/>
                <w:szCs w:val="1"/>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44,281</w:t>
            </w:r>
          </w:p>
        </w:tc>
        <w:tc>
          <w:tcPr>
            <w:tcW w:w="0" w:type="dxa"/>
            <w:vAlign w:val="bottom"/>
          </w:tcPr>
          <w:p>
            <w:pPr>
              <w:spacing w:after="0"/>
              <w:rPr>
                <w:sz w:val="1"/>
                <w:szCs w:val="1"/>
                <w:color w:val="auto"/>
              </w:rPr>
            </w:pP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169,131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5. ACCRUED LIABILITIES AND OTHER</w:t>
            </w:r>
          </w:p>
        </w:tc>
        <w:tc>
          <w:tcPr>
            <w:tcW w:w="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Accrued liabilities and other consisted of the following (in thousands):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 w:type="dxa"/>
            <w:vAlign w:val="bottom"/>
          </w:tcPr>
          <w:p>
            <w:pPr>
              <w:spacing w:after="0"/>
              <w:rPr>
                <w:sz w:val="24"/>
                <w:szCs w:val="24"/>
                <w:color w:val="auto"/>
              </w:rPr>
            </w:pPr>
          </w:p>
        </w:tc>
        <w:tc>
          <w:tcPr>
            <w:tcW w:w="1840" w:type="dxa"/>
            <w:vAlign w:val="bottom"/>
            <w:gridSpan w:val="3"/>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0" w:type="dxa"/>
            <w:vAlign w:val="bottom"/>
          </w:tcPr>
          <w:p>
            <w:pPr>
              <w:spacing w:after="0"/>
              <w:rPr>
                <w:sz w:val="1"/>
                <w:szCs w:val="1"/>
                <w:color w:val="auto"/>
              </w:rPr>
            </w:pP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purchases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19,513</w:t>
            </w:r>
          </w:p>
        </w:tc>
        <w:tc>
          <w:tcPr>
            <w:tcW w:w="0" w:type="dxa"/>
            <w:vAlign w:val="bottom"/>
          </w:tcPr>
          <w:p>
            <w:pPr>
              <w:spacing w:after="0"/>
              <w:rPr>
                <w:sz w:val="1"/>
                <w:szCs w:val="1"/>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payroll related expenses</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10,223</w:t>
            </w:r>
          </w:p>
        </w:tc>
        <w:tc>
          <w:tcPr>
            <w:tcW w:w="0" w:type="dxa"/>
            <w:vAlign w:val="bottom"/>
          </w:tcPr>
          <w:p>
            <w:pPr>
              <w:spacing w:after="0"/>
              <w:rPr>
                <w:sz w:val="1"/>
                <w:szCs w:val="1"/>
                <w:color w:val="auto"/>
              </w:rPr>
            </w:pP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w:t>
            </w: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0" w:type="dxa"/>
            <w:vAlign w:val="bottom"/>
          </w:tcPr>
          <w:p>
            <w:pPr>
              <w:spacing w:after="0"/>
              <w:rPr>
                <w:sz w:val="1"/>
                <w:szCs w:val="1"/>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47,224</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details.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DEBT</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23"/>
        </w:trPr>
        <w:tc>
          <w:tcPr>
            <w:tcW w:w="7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Our debt arrangements consisted of the following (in thousands):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87"/>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Agreement</w:t>
            </w:r>
          </w:p>
        </w:tc>
        <w:tc>
          <w:tcPr>
            <w:tcW w:w="260" w:type="dxa"/>
            <w:vAlign w:val="bottom"/>
          </w:tcPr>
          <w:p>
            <w:pPr>
              <w:spacing w:after="0"/>
              <w:rPr>
                <w:sz w:val="24"/>
                <w:szCs w:val="24"/>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20" w:type="dxa"/>
            <w:vAlign w:val="bottom"/>
          </w:tcPr>
          <w:p>
            <w:pPr>
              <w:spacing w:after="0"/>
              <w:rPr>
                <w:sz w:val="24"/>
                <w:szCs w:val="24"/>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Reservation Fee - related party</w:t>
            </w:r>
          </w:p>
        </w:tc>
        <w:tc>
          <w:tcPr>
            <w:tcW w:w="2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192,133</w:t>
            </w:r>
          </w:p>
        </w:tc>
      </w:tr>
      <w:tr>
        <w:trPr>
          <w:trHeight w:val="22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Convertible Notes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161,000</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 principal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404,508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418,133</w:t>
            </w: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unamortized discount</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(27,975)</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378,406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390,158</w:t>
            </w: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46,357</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portion</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330,170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343,801</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Production Reservation Fee</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On December 23, 2024 ,we completed the transactions contemplated under a transaction agreement with Trina Solar (Schweiz) AG (“Trina Solar,” and such agreement, the “Transaction Agreement”) for the acquisition of all legal and beneficial ownership in the shares of capital stock of Trina Solar US Holding Inc. (the “Trina Business Combination”). In connection with the Trina Business Combination, we assumed a debt obligation to Trina Solar (U.S.) (“TUS”), a</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related party, with a principal amount of $220.0 million (the “Production Reservation Fee”). The principal on the debt is payable in annual installments of $44.0 million that commenced on the first anniversary of the closing of the Trina Business Combination with a December 23, 2029 maturity date. On December 29, 2025, $155.0 million of the Production Reservation Fee was satisfied through a prepayment of future annual installments, leaving $65.0 million of the Production Reservation Fee remaining outstanding. Provided that the Company makes all scheduled installment payments, the debt will bear no interest. However, if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Company fails to make an installment payment, both parties shall negotiate a revised payment schedule in good faith, and any unpaid installment balance will accrue interest at a rate of 6.0% per annum.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Senior Secured Credit Facility</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connection with the Trina Business Combination, we assumed a $235.0 million senior secured credit agreement governing our senior secured credit facility (the “Senior Secured Credit Facility”) with a consortium of banks, with HSBC Bank USA, N.A. serving as the administrative agent (as amended, the</w:t>
      </w:r>
    </w:p>
    <w:p>
      <w:pPr>
        <w:jc w:val="both"/>
        <w:spacing w:after="0" w:line="229" w:lineRule="auto"/>
        <w:rPr>
          <w:sz w:val="20"/>
          <w:szCs w:val="20"/>
          <w:color w:val="auto"/>
        </w:rPr>
      </w:pPr>
      <w:r>
        <w:rPr>
          <w:rFonts w:ascii="Times New Roman" w:cs="Times New Roman" w:eastAsia="Times New Roman" w:hAnsi="Times New Roman"/>
          <w:sz w:val="17"/>
          <w:szCs w:val="17"/>
          <w:color w:val="auto"/>
        </w:rPr>
        <w:t>“Credit Agreement”). The Credit Agreement is dedicated to financing the development, construction, and operation of G1_Dallas, as well as funding-related fees and expenses. The Credit Agreement matures on December 31, 2029.</w:t>
      </w:r>
    </w:p>
    <w:p>
      <w:pPr>
        <w:spacing w:after="0" w:line="10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Borrowings under the Credit Agreement are secured by substantially all of our project-related assets. Interest on amounts drawn accrues at our option of either (i) a base rate (as defined in the Credit Agreement) plus a margin of 3.5% or (ii) the Secured Overnight Financing Rate (“SOFR”) plus a margin of 2.5%.</w:t>
      </w:r>
    </w:p>
    <w:p>
      <w:pPr>
        <w:spacing w:after="0" w:line="87"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connection with the Senior Secured Credit Facility, we entered into interest rate swap agreements with certain financial institutions to manage exposure to variability in interest rates associated with the variable-rate borrowings. These swap agreements effectively convert a portion of our variable-rate debt</w:t>
      </w:r>
    </w:p>
    <w:p>
      <w:pPr>
        <w:jc w:val="both"/>
        <w:spacing w:after="0" w:line="211" w:lineRule="auto"/>
        <w:rPr>
          <w:sz w:val="20"/>
          <w:szCs w:val="20"/>
          <w:color w:val="auto"/>
        </w:rPr>
      </w:pPr>
      <w:r>
        <w:rPr>
          <w:rFonts w:ascii="Times New Roman" w:cs="Times New Roman" w:eastAsia="Times New Roman" w:hAnsi="Times New Roman"/>
          <w:sz w:val="17"/>
          <w:szCs w:val="17"/>
          <w:color w:val="auto"/>
        </w:rPr>
        <w:t>obligations to fixed interest rates over the term of the agreements. Under the terms of the swap agreements, we exchange variable-rate interest payments based on the applicable benchmark rate under the Senior Secured Credit Facility for fixed-rate interest payments with the respective counterparties. The objective of these agreements is to reduce the impact of fluctuations in market interest rates on the interest expense. The interest rate swap agreements have maturities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 with the underlying debt and are subject to customary terms and conditions with the counterparties.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We may prepay outstanding amounts in whole or in part at any time, subject to certain customary conditions. The Credit Agreement requires us to comply with specified financial and non-financial covenants including a debt service ratio. We were in compliance with the financial and non-financial covenants</w:t>
      </w:r>
    </w:p>
    <w:p>
      <w:pPr>
        <w:spacing w:after="0"/>
        <w:rPr>
          <w:sz w:val="20"/>
          <w:szCs w:val="20"/>
          <w:color w:val="auto"/>
        </w:rPr>
      </w:pPr>
      <w:r>
        <w:rPr>
          <w:rFonts w:ascii="Times New Roman" w:cs="Times New Roman" w:eastAsia="Times New Roman" w:hAnsi="Times New Roman"/>
          <w:sz w:val="17"/>
          <w:szCs w:val="17"/>
          <w:color w:val="auto"/>
        </w:rPr>
        <w:t>in the Credit Agreement through the date of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5.25% Convertible Senior Notes due 2030</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December 16, 2025, the Company completed a public offering of $161.0 million aggregate principal amount of the Company’s 5.25% Convertible</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Senior Notes due 2030 (the “2030 Convertible Notes”) at a public offering price of 100% of the principal amount thereof (the “Convertible Notes Offering”). The 2030 Convertible Notes are the senior unsecured obligations of the Company and bear interest at a rate of 5.25% per annum from and including December 16, 2025, payable semi-annually in arrears on June 1 and December 1 of each year, beginning on June 1, 2026. The 2030 Convertible Notes will mature on December 1, 2030, unless earlier repurchased, redeemed or converted.</w:t>
      </w:r>
    </w:p>
    <w:p>
      <w:pPr>
        <w:spacing w:after="0" w:line="11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Before September 1, 2030, holders may convert their 2030 Convertible Notes at their option only in certain circumstances. From and after September 1, 2030, holders may convert their 2030 Convertible Notes at their option until the close of business on the business day immediately preceding the maturity date. The Company will settle conversions by paying and/or delivering, as applicable, cash, shares of its common stock, or a combination of cash and shares of its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common stock, at the Company’s election. The initial conversion rate is 144.3001 shares of the Company’s common stock per $1,000 principal amount of the 2030 Convertible Notes, which is equivalent to an initial conversion price of approximately $6.93 per share of common stock. If a “make-whole fundamental change” (as defined in the indenture governing the 2030 Convertible Notes) occurs, or if the Company calls a holder’s 2030 Convertible Notes for redemption,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then the Company will in certain circumstances increase the conversion rate for a specified period of time for holders who convert their 2030 Convertible Notes in connection with that make-whole fundamental change, or who convert their 2030 Convertible Notes that are called for such redemption. As the Company has the option to settle in shares, these shares are considered potentially dilutive for the calculation of diluted earnings per share.</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2030 Convertible Notes will be redeemable in whole or in part (subject to certain limitations), at the Company’s option at any time, and from time to time, on or after December 6, 2028, and prior to the 41st scheduled trading day immediately before the maturity date, but only if the last reported sale price per share of the Company’s common stock equals or exceeds 130% of the conversion price for the 2030 Convertible Notes on (1) each of at least 20 trading days,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whether or not consecutive, during the 30 consecutive trading days ending on, and including, the trading day immediately before the date the Company sends the related redemption notice; and (2) the trading day immediately before the date the Company sends such notice. However, the Company may not redeem less than all of the outstanding 2030 Convertible Notes unless at least $50.0 million aggregate principal amount of 2030 Convertible Notes are outstanding.</w:t>
      </w:r>
    </w:p>
    <w:p>
      <w:pPr>
        <w:spacing w:after="0" w:line="114"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We recorded $2.5 million in interest expense on the 2030 Convertible Notes for the three months ended March 31, 2026, which includes $2.1 million of contractual interest and $0.4 million of amortization of debt issuance costs. The carrying amount of the 2030 Convertible Notes as of March 31, 2026 was $153.4 million, which includes $7.6 million unamortized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debt issuance costs. The 2030 Convertible Notes are governed by customary terms and covenants, which we were in compliance with through the date of this Report.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Interest Rates</w:t>
            </w:r>
          </w:p>
        </w:tc>
        <w:tc>
          <w:tcPr>
            <w:tcW w:w="23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6"/>
        </w:trPr>
        <w:tc>
          <w:tcPr>
            <w:tcW w:w="62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As of March 31, 2026, our debt borrowing rates were as follows:</w:t>
            </w:r>
          </w:p>
        </w:tc>
        <w:tc>
          <w:tcPr>
            <w:tcW w:w="2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7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Loan Agreement</w:t>
            </w:r>
          </w:p>
        </w:tc>
        <w:tc>
          <w:tcPr>
            <w:tcW w:w="2380" w:type="dxa"/>
            <w:vAlign w:val="bottom"/>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26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Effective Interest Rate</w:t>
            </w:r>
          </w:p>
        </w:tc>
      </w:tr>
      <w:tr>
        <w:trPr>
          <w:trHeight w:val="21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Reservation Fee - related party</w:t>
            </w:r>
          </w:p>
        </w:tc>
        <w:tc>
          <w:tcPr>
            <w:tcW w:w="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2620" w:type="dxa"/>
            <w:vAlign w:val="bottom"/>
            <w:tcBorders>
              <w:top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23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SOFR plus 2.5%</w:t>
            </w:r>
          </w:p>
        </w:tc>
        <w:tc>
          <w:tcPr>
            <w:tcW w:w="26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Convertible Notes</w:t>
            </w:r>
          </w:p>
        </w:tc>
        <w:tc>
          <w:tcPr>
            <w:tcW w:w="23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5.3%</w:t>
            </w:r>
          </w:p>
        </w:tc>
        <w:tc>
          <w:tcPr>
            <w:tcW w:w="26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6.3%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Principal Maturities of Debt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The aggregate maturities of long-term debt as of March 31, 2026, were as follows (in thousands):</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87"/>
        </w:trPr>
        <w:tc>
          <w:tcPr>
            <w:tcW w:w="9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32,733</w:t>
            </w:r>
          </w:p>
        </w:tc>
      </w:tr>
      <w:tr>
        <w:trPr>
          <w:trHeight w:val="220"/>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51,578</w:t>
            </w:r>
          </w:p>
        </w:tc>
      </w:tr>
      <w:tr>
        <w:trPr>
          <w:trHeight w:val="22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71,951</w:t>
            </w:r>
          </w:p>
        </w:tc>
      </w:tr>
      <w:tr>
        <w:trPr>
          <w:trHeight w:val="220"/>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87,247</w:t>
            </w:r>
          </w:p>
        </w:tc>
      </w:tr>
      <w:tr>
        <w:trPr>
          <w:trHeight w:val="22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161,000</w:t>
            </w:r>
          </w:p>
        </w:tc>
      </w:tr>
      <w:tr>
        <w:trPr>
          <w:trHeight w:val="22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404,508</w:t>
            </w:r>
          </w:p>
        </w:tc>
      </w:tr>
    </w:tbl>
    <w:p>
      <w:pPr>
        <w:spacing w:after="0" w:line="212" w:lineRule="exact"/>
        <w:rPr>
          <w:sz w:val="20"/>
          <w:szCs w:val="20"/>
          <w:color w:val="auto"/>
        </w:rPr>
      </w:pPr>
    </w:p>
    <w:p>
      <w:pPr>
        <w:ind w:right="7760" w:firstLine="3"/>
        <w:spacing w:after="0" w:line="406" w:lineRule="auto"/>
        <w:tabs>
          <w:tab w:leader="none" w:pos="172"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spacing w:after="0" w:line="2"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From time to time, we may be subject to legal and regulatory actions that arise in the ordinary course of business. The assessment as to whether a loss is probable or reasonably possible, and if such loss or a range of losses is estimable, often involves significant judgment, including estimates and assumptions about future events. To the knowledge of our management, as of March 31, 2026, there are no material litigation, claims, or actions currently pending against us, any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officers, or directors in their capacity as such, or against any of our property except as described below.</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On June 5, 2025, July 1, 2025 and July 31, 2025, we received notices from U.S. Customs and Border Protection (“CBP”) relating to potential customs duties on goods imported in 2024 by one of the entities we acquired in the Trina Business Combination (the “Notices”). We have engaged with CBP on these</w:t>
      </w:r>
    </w:p>
    <w:p>
      <w:pPr>
        <w:jc w:val="both"/>
        <w:spacing w:after="0" w:line="210" w:lineRule="auto"/>
        <w:rPr>
          <w:sz w:val="20"/>
          <w:szCs w:val="20"/>
          <w:color w:val="auto"/>
        </w:rPr>
      </w:pPr>
      <w:r>
        <w:rPr>
          <w:rFonts w:ascii="Times New Roman" w:cs="Times New Roman" w:eastAsia="Times New Roman" w:hAnsi="Times New Roman"/>
          <w:sz w:val="17"/>
          <w:szCs w:val="17"/>
          <w:color w:val="auto"/>
        </w:rPr>
        <w:t>Notices and explained why we believe they were without legal or factual merit. In March and April 2026, we received bills from CBP for alleged duties on goods imported in 2024 by the same entity acquired in the Trina Business Combination. It is unclear what, if any, connection these bills have with the Notices previously received. At this point, the bills received total approximately $31.7 million. The Company is engaging with CBP, through outside counsel, to correct what it believes is the erroneous application of duties, but it is not possible at this time to predict the duration, outcome, or impact of these matters, which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maintains would ultimately be subject to indemnification pursuant to the Trina Business Combination.</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April 2026, CBP launched a program allowing importers to submit claims for refunds of tariffs imposed under the International Emergency Economic Powers Act (“IEEPA”). Two months before the launch of this program, the U.S. Supreme Court declared these tariffs invalid. The Company has incurred IEEPA</w:t>
      </w:r>
    </w:p>
    <w:p>
      <w:pPr>
        <w:jc w:val="both"/>
        <w:spacing w:after="0" w:line="221" w:lineRule="auto"/>
        <w:rPr>
          <w:sz w:val="20"/>
          <w:szCs w:val="20"/>
          <w:color w:val="auto"/>
        </w:rPr>
      </w:pPr>
      <w:r>
        <w:rPr>
          <w:rFonts w:ascii="Times New Roman" w:cs="Times New Roman" w:eastAsia="Times New Roman" w:hAnsi="Times New Roman"/>
          <w:sz w:val="17"/>
          <w:szCs w:val="17"/>
          <w:color w:val="auto"/>
        </w:rPr>
        <w:t>tariffs and has submitted claims for refunds of $33.5 million, but as of the date of this Report has not recognized any financial impact related to potential tariff refunds. While a favorable resolution of these claims could positively impact results of operations in future periods, the timing and ultimate realization of these refunds remain subject to significant uncertainty.</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November 2025, the Company and a Company executive and Board member (the “Individual”) received grand jury subpoenas from the Department of Justice (“DOJ”), which request the production of documents relating to the sale of the Company’s stock in the second half of 2023 on account of the Individual, who was a director of the Company at that time. Shortly thereafter, the Company received a voluntary document request from the SEC seeking similar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information. The Company believes that the relevant trades relate to stock that the Individual pledged as collateral against a personal loan, which was approved in accordance with the Company’s insider trading policy. The Company is cooperating with both the DOJ and SEC, and it is not possible at this time to predict the duration, outcome or impact of such matters.</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December 2025, RWE Investco EPC MGMT, LLC filed an action against a subsidiary of the Company and TUS, in the Superior Court of the State of California for the County of San Francisco (the “Lawsuit”) alleging breach of contract claims relating to a long-term offtake agreement. We contest the allegations and intend to vigorously defend against the Lawsuit and pursue all legal remedies available to the Company, including but not limited to a Cross-Complaint filed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6" w:name="page17"/>
    <w:bookmarkEnd w:id="16"/>
    <w:p>
      <w:pPr>
        <w:jc w:val="both"/>
        <w:spacing w:after="0" w:line="228" w:lineRule="auto"/>
        <w:rPr>
          <w:sz w:val="20"/>
          <w:szCs w:val="20"/>
          <w:color w:val="auto"/>
        </w:rPr>
      </w:pPr>
      <w:r>
        <w:rPr>
          <w:rFonts w:ascii="Times New Roman" w:cs="Times New Roman" w:eastAsia="Times New Roman" w:hAnsi="Times New Roman"/>
          <w:sz w:val="17"/>
          <w:szCs w:val="17"/>
          <w:color w:val="auto"/>
        </w:rPr>
        <w:t>January 2026 asserting claims against RWE Investco EPC MGMT, LLC and seeking damages, and a complaint filed in March 2026 against RWE Aktiengesellschaft in the Supreme Court of the State of New York for the County of New York, seeking to enforce their unconditional guaranty of RWE Investco EPC MGMT, LLC’s payment obligations under the long-term offtake agreement for up to $100 million.</w:t>
      </w:r>
    </w:p>
    <w:p>
      <w:pPr>
        <w:spacing w:after="0" w:line="11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First Solar, Inc. initiated patent infringement proceedings in early 2026 against numerous companies in the solar industry, including a district court proceeding against T1 Energy Inc. and T1 G1 Dallas Midco Inc., alleging that such companies are and have been willfully infringing U.S. Patent No. 9,130,074 (the “’074 Patent”) by, among other actions, importing certain solar cells. Separately, also in early 2026, the International Trade Commission published a Notice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Receipt of Complaint filed by First Solar, Inc. alleging that multiple proposed respondents, including T1 Energy Inc. and T1 G1 Dallas Solar Module LLC, are knowingly and intentionally infringing the ’074 Patent by, among other actions, importing certain solar cells. In that proceeding, First Solar Inc. has requested that the International Trade Commission issue a general exclusion order prohibiting the importation of products that infringe the ’074 Patent, which First Solar, Inc.</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alleges includes TOPCon solar cells, as well as cease-and-desist orders to all respondents with respect to the importation, sale, marketing, or distribution of such products. We contest the allegations by First Solar, Inc. and will vigorously defend against them and pursue all legal remedies available to the Company.</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taking into consideration our indemnities, defenses, insurance and reserves, the ultimate resolution of these matters will not have a material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impact on our financial position, results of operations or cash flows. However, the ultimate outcome of these matters cannot be determined at this time, and we cannot guarantee that we will be successful in contesting these matters, or that we will not need to accrue or pay additional amounts in the future, which could be material.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WARRANTS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Private and Penny Warrants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2026, we had 24.6 million warrants outstanding (the “Warrants”), consisting of 14.8 million public warrants (the “Public Warrants”) and</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9.8 million private warrants (the “Private Warrants”). As of December 31, 2025, we had 31.6 million warrants outstanding, consisting of 14.7 million Public Warrants, 9.9 million Private Warrants and penny warrants to purchase 7.0 million shares of common stock (the “Penny Warrants”).</w:t>
      </w:r>
    </w:p>
    <w:p>
      <w:pPr>
        <w:spacing w:after="0" w:line="10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The Public Warrants and Private Warrants entitle the holder thereof to purchase one share of our common stock at a price of $11.50 per share, subject to adjustments. The Public Warrants and Private Warrants will expire on July 9, 2026, or earlier upon redemption or liquidation.</w:t>
      </w:r>
    </w:p>
    <w:p>
      <w:pPr>
        <w:spacing w:after="0" w:line="113"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We may call the Public Warrants for redemption once they become exercisable, in whole and not in part, at a price of $0.01 per Public Warrant, so long as we provide at least 30 days prior written notice of redemption to each Public Warrant holder, and if, and only if, the reported last sales price of our common stock equals or exceeds $18.00 per share for each of 20 trading days within the 30 trading-day period ending on the third trading day before the date on which we send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notice of redemption to the Public Warrant holders. We determined that the Public Warrants are equity classified as they are indexed to our common stock and qualify for classification within stockholders’ equity. As such, the Public Warrants are presented as part of additional paid-in capital on our unaudited condensed consolidated balance sheets.</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Private Warrants are identical to the Public Warrants, except that so long as they are held by a certain holder or any of its permitted transferees, the Private Warrants: (i) may be exercised for cash or on a cashless basis and (ii) shall not be redeemable by us. We determined that the Private Warrants are not considered indexed to our common stock as the holder of the Private Warrants impacts the settlement amount and thus, they are liability classified. The Private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Warrants are presented as derivative liabilities on our unaudited condensed consolidated balance sheets as of March 31, 2026 and December 31, 2025, respectively.</w:t>
      </w:r>
    </w:p>
    <w:p>
      <w:pPr>
        <w:spacing w:after="0" w:line="278"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If Private Warrants are sold or transferred to another party that is not the specified holder or any of its permitted transferees, the Private Warrants become Public Warrants and qualify for classification within stockholders’ equity at the fair value on the date of the transfer. See also Note 10 – Fair Value Measurement.</w:t>
      </w:r>
    </w:p>
    <w:p>
      <w:pPr>
        <w:spacing w:after="0" w:line="87"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The Penny Warrants entitled the holder thereof to purchase one share of our common stock at a price of $0.01 per share. The Penny Warrants fully vested and became exercisable on March 10, 2026, in whole or in part, and had an expiration date of September 10, 2030. On March 10, 2026, the holder exercised the</w:t>
      </w:r>
    </w:p>
    <w:p>
      <w:pPr>
        <w:jc w:val="both"/>
        <w:spacing w:after="0" w:line="229" w:lineRule="auto"/>
        <w:rPr>
          <w:sz w:val="20"/>
          <w:szCs w:val="20"/>
          <w:color w:val="auto"/>
        </w:rPr>
      </w:pPr>
      <w:r>
        <w:rPr>
          <w:rFonts w:ascii="Times New Roman" w:cs="Times New Roman" w:eastAsia="Times New Roman" w:hAnsi="Times New Roman"/>
          <w:sz w:val="17"/>
          <w:szCs w:val="17"/>
          <w:color w:val="auto"/>
        </w:rPr>
        <w:t>Penny Warrants at an exercise price of $0.01 per share. Upon receipt of the exercise notice and payment of the aggregate exercise price in accordance with the terms of the Penny Warrants, we issued 7.0 million shares of our common stock to the holder.</w:t>
      </w:r>
    </w:p>
    <w:p>
      <w:pPr>
        <w:spacing w:after="0" w:line="96" w:lineRule="exact"/>
        <w:rPr>
          <w:sz w:val="20"/>
          <w:szCs w:val="20"/>
          <w:color w:val="auto"/>
        </w:rPr>
      </w:pPr>
    </w:p>
    <w:p>
      <w:pPr>
        <w:ind w:right="2680" w:firstLine="3"/>
        <w:spacing w:after="0" w:line="406" w:lineRule="auto"/>
        <w:tabs>
          <w:tab w:leader="none" w:pos="172"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REDEEMABLE PREFERRED STOCK, ANTI-DILUTION RIGHTS, AND SHARE PURCHASE AGREEMENT Redeemable Preferred Stock</w:t>
      </w:r>
    </w:p>
    <w:p>
      <w:pPr>
        <w:spacing w:after="0" w:line="2" w:lineRule="exact"/>
        <w:rPr>
          <w:sz w:val="20"/>
          <w:szCs w:val="20"/>
          <w:color w:val="auto"/>
        </w:rPr>
      </w:pPr>
    </w:p>
    <w:p>
      <w:pPr>
        <w:ind w:firstLine="620"/>
        <w:spacing w:after="0" w:line="225" w:lineRule="auto"/>
        <w:rPr>
          <w:sz w:val="20"/>
          <w:szCs w:val="20"/>
          <w:color w:val="auto"/>
        </w:rPr>
      </w:pPr>
      <w:r>
        <w:rPr>
          <w:rFonts w:ascii="Times New Roman" w:cs="Times New Roman" w:eastAsia="Times New Roman" w:hAnsi="Times New Roman"/>
          <w:sz w:val="17"/>
          <w:szCs w:val="17"/>
          <w:color w:val="auto"/>
        </w:rPr>
        <w:t>As of March 31, 2026, 1.6 million shares of Series B Convertible Non-Voting Preferred Stock (“Series B Preferred Stock) and 5.0 million shares of Series B-1 Convertible Non-Voting Preferred Stock (“Series B-1 Preferred Stock” and, together with the Series B Preferred Stock, the “Preferred Stock”) were issued and</w:t>
      </w:r>
    </w:p>
    <w:p>
      <w:pPr>
        <w:spacing w:after="0"/>
        <w:rPr>
          <w:sz w:val="20"/>
          <w:szCs w:val="20"/>
          <w:color w:val="auto"/>
        </w:rPr>
      </w:pPr>
      <w:r>
        <w:rPr>
          <w:rFonts w:ascii="Times New Roman" w:cs="Times New Roman" w:eastAsia="Times New Roman" w:hAnsi="Times New Roman"/>
          <w:sz w:val="17"/>
          <w:szCs w:val="17"/>
          <w:color w:val="auto"/>
        </w:rPr>
        <w:t>outstanding. Each share of Series B</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7" w:name="page18"/>
    <w:bookmarkEnd w:id="17"/>
    <w:p>
      <w:pPr>
        <w:jc w:val="both"/>
        <w:spacing w:after="0"/>
        <w:rPr>
          <w:sz w:val="20"/>
          <w:szCs w:val="20"/>
          <w:color w:val="auto"/>
        </w:rPr>
      </w:pPr>
      <w:r>
        <w:rPr>
          <w:rFonts w:ascii="Times New Roman" w:cs="Times New Roman" w:eastAsia="Times New Roman" w:hAnsi="Times New Roman"/>
          <w:sz w:val="17"/>
          <w:szCs w:val="17"/>
          <w:color w:val="auto"/>
        </w:rPr>
        <w:t>Preferred Stock and Series B-1 Preferred Stock has a par value of $0.01 per share and a stated liquidation preference of $10.00 per share, for aggregate liquidation preferences of $16.0 million and $50.0 million, respectively.</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Series B Preferred Stock and Series B-1 Preferred Stock were issued to certain funds and accounts managed by Encompass Capital Advisors, LLC</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(“Encompass”), a related party, pursuant to an Amended and Restated Stock Purchase Agreement (the “Encompass Stock Purchase Agreement”) and have a maturity date of December 23, 2027. The Encompass Stock Purchase Agreement contains customary representations and warranties and agreements of the Company and Encompass and customary indemnification rights and obligations of the parties.</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If not converted by the holder into the Company’s common stock, we are required to redeem the Series B Preferred Stock and Series B-1 Preferred Stock at maturity at $10.00 per share plus any accrued and unpaid dividends. The Series B Preferred Stock and Series B-1 Preferred Stock rank senior to the common stock but junior to all debt obligations of the Company and have a liquidation preference equal to $10.00 per share of Series B Preferred Stock and Series B-1</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Preferred Stock plus accrued but unpaid dividends. The Series B Preferred Stock and Series B-1 Preferred Stock carry 6% cash dividends payable in arrears (i) on the dividend date 18 months after the issuance date and (ii) every six months after such dividend payment date. For the three months ended March 31, 2026, we recognized $1.0 million of accumulated and unpaid dividends on Series B Preferred Stock and Series B-1 Preferred Stock.</w:t>
      </w:r>
    </w:p>
    <w:p>
      <w:pPr>
        <w:spacing w:after="0" w:line="114"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Each share of Series B Preferred Stock and Series B-1 Preferred Stock is convertible, at the option of the holders. The conversion price for Series B Preferred Stock is $1.70 per share of common stock, while the conversion price for Series B-1 Preferred Stock is $1.90 per share if the 10-day average trading price of our common stock before the conversion date is $2.50 or higher, and $1.70 per share if the 10-day average trading price is below $2.50.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Anti-Dilution Right</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connection with the Trina Business Combination, and pursuant to the Transaction Agreement, we provided Trina Solar the right (“Anti-Dilution Right”), but not the obligation, to acquire a number of shares of our common stock so that Trina Solar’s proportionate ownership of our common stock after the</w:t>
      </w:r>
    </w:p>
    <w:p>
      <w:pPr>
        <w:jc w:val="both"/>
        <w:spacing w:after="0" w:line="210" w:lineRule="auto"/>
        <w:rPr>
          <w:sz w:val="20"/>
          <w:szCs w:val="20"/>
          <w:color w:val="auto"/>
        </w:rPr>
      </w:pPr>
      <w:r>
        <w:rPr>
          <w:rFonts w:ascii="Times New Roman" w:cs="Times New Roman" w:eastAsia="Times New Roman" w:hAnsi="Times New Roman"/>
          <w:sz w:val="17"/>
          <w:szCs w:val="17"/>
          <w:color w:val="auto"/>
        </w:rPr>
        <w:t>conversion of the Preferred Stock will be the same as before the conversion at a price equal to $1.70 per share of our common stock or otherwise equal to the price for the conversion of Preferred Stock. We determined that the Anti-Dilution Right was a freestanding financial instrument and classified it as an other long-term liability on our unaudited condensed consolidated balance sheets, initially recorded at fair value. The Anti-Dilution Right is subsequently revalued until anti-dilution shares are issued or when the Anti-Dilution Right expires on December 23, 2027, with changes in fair value for each reporting period recognized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derivative liabilities fair value adjustment.</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addition, in connection with the Trina Business Combination, we provided Trina Solar the right (the “Capital Raising Anti-Dilution Right”), but not the obligation, to acquire a number of shares of our common stock so that Trina Solar’s proportionate ownership of voting securities will be the same as before new</w:t>
      </w:r>
    </w:p>
    <w:p>
      <w:pPr>
        <w:jc w:val="both"/>
        <w:spacing w:after="0" w:line="229" w:lineRule="auto"/>
        <w:rPr>
          <w:sz w:val="20"/>
          <w:szCs w:val="20"/>
          <w:color w:val="auto"/>
        </w:rPr>
      </w:pPr>
      <w:r>
        <w:rPr>
          <w:rFonts w:ascii="Times New Roman" w:cs="Times New Roman" w:eastAsia="Times New Roman" w:hAnsi="Times New Roman"/>
          <w:sz w:val="17"/>
          <w:szCs w:val="17"/>
          <w:color w:val="auto"/>
        </w:rPr>
        <w:t>voting securities are issued following certain capital raising transactions. The Capital Raising Anti-Dilution Right is exercisable no later than fifteen business days following written notice from the Company, after which the Company has certain rights to sell the voting securities not elected to be purchased by Trina Solar.</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connection with the issuance by the Company of 21.5 million shares of common stock to Encompass on October 31, 2025 pursuant to the Encompass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Stock Purchase Agreement, the Company provided notice of the Anti-Dilution Right to Trina Solar. Trina Solar notified the Company on November 25, 2025, that it chose to exercise the Anti-Dilution Right related to this issuance, and as a result subscribed to 4,274,704 shares of common stock at a subscription price of $1.70. As of December 31, 2025, the shares were not issued and the Company recognized a subscription receivable of $7.3 million based on the subscription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21, 2026, the shares were issued to Trina Solar in exchange for $7.3 million in cash.</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Purchase Agreement</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November 6, 2024, the Company and an investor who is a significant shareholder of Trina Solar, entered into a share purchase agreement (“Share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Purchase Agreement”) pursuant to which the investor subscribed to purchase a total of $14.8 million of common stock for $1.05 per share. We recognized the Share Purchase Agreement as a derivative liability on our unaudited condensed consolidated balance sheets and initially recorded it at fair value. The Share Purchase Agreement is subsequently revalued with changes in fair value for each reporting period recognized in derivative liabilities fair value adjustment.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Share Purchase Agreement derivative liabilities fair value adjustment recorded on the consolidated statements of operations and comprehensive loss for the three months ended March 31, 2025, was a loss of $13.3 million.</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September 10, 2025, the Company and the investor entered into a termination letter agreement (“Termination Letter”) pursuant to which the Share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Purchase Agreement was terminated in exchange for $5.0 million and the issuance of 7.0 million Penny Warrants. Refer to Note 8 – Warrants for further discussion on the Penny Warrants.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10. FAIR VALUE MEASUREMENT</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liabilities measured at fair value on a recurring basis, by level within the fair value hierarchy, consisted of the following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13"/>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20"/>
        </w:trPr>
        <w:tc>
          <w:tcPr>
            <w:tcW w:w="2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Anti-dilution Right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45,754</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45,754</w:t>
            </w:r>
          </w:p>
        </w:tc>
      </w:tr>
      <w:tr>
        <w:trPr>
          <w:trHeight w:val="220"/>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Private Warrants</w:t>
            </w: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11,661</w:t>
            </w:r>
          </w:p>
        </w:tc>
      </w:tr>
      <w:tr>
        <w:trPr>
          <w:trHeight w:val="223"/>
        </w:trPr>
        <w:tc>
          <w:tcPr>
            <w:tcW w:w="2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rate swaps</w:t>
            </w:r>
          </w:p>
        </w:tc>
        <w:tc>
          <w:tcPr>
            <w:tcW w:w="180" w:type="dxa"/>
            <w:vAlign w:val="bottom"/>
          </w:tcPr>
          <w:p>
            <w:pPr>
              <w:spacing w:after="0"/>
              <w:rPr>
                <w:sz w:val="19"/>
                <w:szCs w:val="19"/>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r>
    </w:tbl>
    <w:p>
      <w:pPr>
        <w:spacing w:after="0" w:line="21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We measure our Anti-Dilution Right and Private Warrants at fair value based on significant inputs not observable in the market, which caused them to be classified as Level 3 measurements within the fair value hierarchy. The valuation uses assumptions and estimates that we believe a market participant would use</w:t>
      </w:r>
    </w:p>
    <w:p>
      <w:pPr>
        <w:jc w:val="both"/>
        <w:spacing w:after="0" w:line="221" w:lineRule="auto"/>
        <w:rPr>
          <w:sz w:val="20"/>
          <w:szCs w:val="20"/>
          <w:color w:val="auto"/>
        </w:rPr>
      </w:pPr>
      <w:r>
        <w:rPr>
          <w:rFonts w:ascii="Times New Roman" w:cs="Times New Roman" w:eastAsia="Times New Roman" w:hAnsi="Times New Roman"/>
          <w:sz w:val="17"/>
          <w:szCs w:val="17"/>
          <w:color w:val="auto"/>
        </w:rPr>
        <w:t>when making the same valuation. Changes in the fair value of the Anti-Dilution Right are recognized in derivative liabilities fair value adjustment in our unaudited condensed consolidated statements of operations and comprehensive loss. Changes in the fair value of the Private Warrants are recognized under warrant liability fair value adjustment in our unaudited condensed consolidated statements of operations and comprehensive loss.</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fair value of interest rate swaps is determined using valuation models that incorporate observable market inputs including interest rate yield curves and credit spreads and is classified within Level 2 of the fair value hierarchy. Changes in the fair value of interest rate swaps are recognized in other (expense) income, net in our unaudited condensed consolidated statements of operations and comprehensive loss. Interest rate swap liabilities are presented as other long-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liabilities on our unaudited condensed consolidated balance sheets.</w:t>
      </w:r>
    </w:p>
    <w:p>
      <w:pPr>
        <w:spacing w:after="0" w:line="11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As of March 31, 2026 and December 31, 2025, the carrying amounts of the Company’s cash and cash equivalents, accounts receivable, accounts payable, accrued liabilities and other current liabilities approximate their respective fair values due to the short-term maturities of these instruments.</w:t>
      </w:r>
    </w:p>
    <w:p>
      <w:pPr>
        <w:spacing w:after="0" w:line="113"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The carrying amount of the Company’s debt instruments approximates fair value, as the current borrowing base rates for the Senior Secured Credit Facility does not materially differ from market rates of similar borrowings and the related party debt instruments were recorded at fair value on the closing date of the Trina Business Combination.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Anti-Dilution Right</w:t>
      </w:r>
    </w:p>
    <w:p>
      <w:pPr>
        <w:spacing w:after="0" w:line="132"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The Anti-Dilution Right was valued using the Black-Scholes-Merton option pricing model. See Note 9 – Redeemable Preferred Stock, Anti-Dilution Right, and Share Purchase Agreement above for further details. Our use of the Black-Scholes-Merton option pricing model for the Anti-Dilution Right, required the use of subjective assumptions, including:</w:t>
      </w:r>
    </w:p>
    <w:p>
      <w:pPr>
        <w:spacing w:after="0" w:line="115"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assumption was based on the U.S. Treasury rates commensurate with the contractual terms of the Anti-Dilution Right.</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was determined based on the expiration date of the Anti-Dilution Right.</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assumption was based on the implied volatility from the Company’s stock price.</w:t>
      </w:r>
    </w:p>
    <w:p>
      <w:pPr>
        <w:spacing w:after="0" w:line="14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The fair value of the Anti-Dilution Right was determined using this approach, exercise prices of $1.70 and $1.90 and a share price of $4.39 as of March 31, 2026, and an exercise price of $1.70 and $1.90 and a share price of $6.68 as of December 31, 2025. A decrease in the risk-free interest rate, and an increase in each of the expected term or expected volatility, in isolation, would increase the fair value measurement, while an increase in the risk-free interest rate, and a decrease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expected term or expected volatility would decrease the fair value measurement of the Anti-Dilution Right.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Warrants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Private Warrants were valued using the Black-Scholes-Merton option pricing model. See Note 8 – Warrants above for further details. Our use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Black-Scholes-Merton option pricing model for the Private Warrants required the use of subjective assumptions, including:</w:t>
      </w:r>
    </w:p>
    <w:p>
      <w:pPr>
        <w:spacing w:after="0" w:line="110"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assumption was based on the U.S. Treasury Rates commensurate with the contractual terms of the Private Warrants.</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was determined based on the expiration date of the Private Warrants.</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assumption was based on the implied volatility from the publicly traded Public Warrants.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9" w:name="page20"/>
    <w:bookmarkEnd w:id="19"/>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fair value of the Private Warrants was determined using this approach, an exercise price of $11.50, and a share price of $4.39 as of March 31, 2026, and $6.68 as of December 31, 2025. A decrease in the risk-free interest rate, and an increase in each of the expected term or expected volatility, in isolation, would increase the fair value measurement, while an increase in the risk-free interest rate, and a decrease in each of the expected term or expected volatility would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decrease the fair value measurement of the Private Warrants.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Rollforward of Level 3 Fair Value Instruments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changes in the Level 3 instruments measured at fair value on a recurring basis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tc>
      </w:tr>
      <w:tr>
        <w:trPr>
          <w:trHeight w:val="187"/>
        </w:trPr>
        <w:tc>
          <w:tcPr>
            <w:tcW w:w="7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jc w:val="right"/>
              <w:ind w:right="654"/>
              <w:spacing w:after="0" w:line="187" w:lineRule="exact"/>
              <w:rPr>
                <w:sz w:val="20"/>
                <w:szCs w:val="20"/>
                <w:color w:val="auto"/>
              </w:rPr>
            </w:pPr>
            <w:r>
              <w:rPr>
                <w:rFonts w:ascii="Times New Roman" w:cs="Times New Roman" w:eastAsia="Times New Roman" w:hAnsi="Times New Roman"/>
                <w:sz w:val="17"/>
                <w:szCs w:val="17"/>
                <w:b w:val="1"/>
                <w:bCs w:val="1"/>
                <w:color w:val="auto"/>
              </w:rPr>
              <w:t>Private</w:t>
            </w:r>
          </w:p>
        </w:tc>
      </w:tr>
      <w:tr>
        <w:trPr>
          <w:trHeight w:val="258"/>
        </w:trPr>
        <w:tc>
          <w:tcPr>
            <w:tcW w:w="7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Anti-Dilution Right</w:t>
            </w:r>
          </w:p>
        </w:tc>
        <w:tc>
          <w:tcPr>
            <w:tcW w:w="380" w:type="dxa"/>
            <w:vAlign w:val="bottom"/>
          </w:tcPr>
          <w:p>
            <w:pPr>
              <w:spacing w:after="0"/>
              <w:rPr>
                <w:sz w:val="22"/>
                <w:szCs w:val="22"/>
                <w:color w:val="auto"/>
              </w:rPr>
            </w:pPr>
          </w:p>
        </w:tc>
        <w:tc>
          <w:tcPr>
            <w:tcW w:w="162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Warrants</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45,754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11,661</w:t>
            </w:r>
          </w:p>
        </w:tc>
      </w:tr>
      <w:tr>
        <w:trPr>
          <w:trHeight w:val="220"/>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measurement adjustments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(10,413)</w:t>
            </w:r>
          </w:p>
        </w:tc>
      </w:tr>
      <w:tr>
        <w:trPr>
          <w:trHeight w:val="22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to Public Warrants</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25,799</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r>
      <w:tr>
        <w:trPr>
          <w:trHeight w:val="20"/>
        </w:trPr>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780" w:firstLine="3"/>
        <w:spacing w:after="0" w:line="406" w:lineRule="auto"/>
        <w:tabs>
          <w:tab w:leader="none" w:pos="249"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Common Stock</w:t>
      </w:r>
    </w:p>
    <w:p>
      <w:pPr>
        <w:spacing w:after="0" w:line="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As of March 31, 2026, 500.0 million shares of common stock were authorized with a par value of $0.01 per share and 279.0 million shares of common stock were outstanding. Holders of common stock are entitled to one vote per share and to receive dividends when, as, and if, declared by our Board of Directors</w:t>
      </w:r>
    </w:p>
    <w:p>
      <w:pPr>
        <w:spacing w:after="0"/>
        <w:rPr>
          <w:sz w:val="20"/>
          <w:szCs w:val="20"/>
          <w:color w:val="auto"/>
        </w:rPr>
      </w:pPr>
      <w:r>
        <w:rPr>
          <w:rFonts w:ascii="Times New Roman" w:cs="Times New Roman" w:eastAsia="Times New Roman" w:hAnsi="Times New Roman"/>
          <w:sz w:val="17"/>
          <w:szCs w:val="17"/>
          <w:color w:val="auto"/>
        </w:rPr>
        <w:t>(the “Board”). From inception to March 31, 2026, we have not declared any dividends.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Plan</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June 2021, we adopted the T1 Energy Inc. 2021 Equity Incentive Plan (as amended and restated as of April 22, 2024) (the “2021 Plan”). The 2021 Plan provides for the grant of stock options, restricted stock, restricted stock units (“RSUs”), stock appreciation rights, performance units, and performance shares to our employees, directors, and consultants. Generally, our stock options and RSUs vest annually over three years and our stock options are exercisable over a</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maximum period of five years from their grant dates. Options are typically forfeited when the employment relationship ends for employees, and they are not typically forfeited for directors. Generally, our RSUs are equity-classified awards, as they are share settled. All exercised options are expected to be settled in shares, net of shares withheld to satisfy the award exercise price. As of March 31, 2026, a total of 34.9 million shares were authorized for issuance to satisfy share-based compensation awards made under the 2021 Plan.</w:t>
      </w:r>
    </w:p>
    <w:p>
      <w:pPr>
        <w:spacing w:after="0" w:line="115"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During the three months ended March 31, 2026, no options were granted, 0.1 million options were forfeited, 0.3 million options were exercised, 0.7 million RSUs were granted, 0.1 million RSUs were forfeited, and 1.2 million RSUs vested.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provision for income taxes is recorded at the end of each interim period based on our best estimate of our effective income tax rate expected to be applicable for the full fiscal year. Our effective income tax rate was (6)% and 29% for the three months ended March 31, 2026 and 2025, respectively. The decrease in the tax rate is due to changes in the valuation allowance and state income tax effects. For the three months ended March 31, 2026, the Company’s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effective income tax rate differed from the U.S. statutory rate of 21% primarily due to non-deductible fair value changes and changes in valuation allowance. For the three months ended March 31, 2025, the Company’s effective income tax rate differed from the U.S. statutory rate of 21% primarily due to non-deductible fair value changes. As of March 31, 2026 and December 31, 2025, we did not have any uncertain tax positions.</w:t>
      </w:r>
    </w:p>
    <w:p>
      <w:pPr>
        <w:spacing w:after="0" w:line="110" w:lineRule="exact"/>
        <w:rPr>
          <w:sz w:val="20"/>
          <w:szCs w:val="20"/>
          <w:color w:val="auto"/>
        </w:rPr>
      </w:pPr>
    </w:p>
    <w:p>
      <w:pPr>
        <w:ind w:right="8120" w:firstLine="3"/>
        <w:spacing w:after="0" w:line="399" w:lineRule="auto"/>
        <w:tabs>
          <w:tab w:leader="none" w:pos="258"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Board Consulting Agreements</w:t>
      </w:r>
    </w:p>
    <w:p>
      <w:pPr>
        <w:ind w:left="620"/>
        <w:spacing w:after="0"/>
        <w:rPr>
          <w:sz w:val="20"/>
          <w:szCs w:val="20"/>
          <w:color w:val="auto"/>
        </w:rPr>
      </w:pPr>
      <w:r>
        <w:rPr>
          <w:rFonts w:ascii="Times New Roman" w:cs="Times New Roman" w:eastAsia="Times New Roman" w:hAnsi="Times New Roman"/>
          <w:sz w:val="17"/>
          <w:szCs w:val="17"/>
          <w:color w:val="auto"/>
        </w:rPr>
        <w:t>During the three months ended March 31, 2026 and 2025, we engaged two members of the Board under consulting agreements, one of whom has since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ceased to serve on the Board. The expenses incurred for these consulting services for the three months ended March 31, 2026 and 2025 were $0.2 million and $0.2 million, respectively. These expenses are recognized as general and administrative expenses within our unaudited condensed consolidated statements of operations and comprehensive loss. Additionally, one board member shall receive restricted stock units with a grant date fair market value of $0.3 million if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signs a definitive agreement related to a significant merger and acquisition transaction.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Trina Group</w:t>
      </w:r>
    </w:p>
    <w:p>
      <w:pPr>
        <w:spacing w:after="0" w:line="132"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We have related party balances and transactions with Trina Solar and its affiliates (the “Trina Group”) as a result of the Trina Business Combination and through the normal course of business.</w:t>
      </w:r>
    </w:p>
    <w:p>
      <w:pPr>
        <w:spacing w:after="0" w:line="113"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PV solar module sales of $188.8 million and $64.6 million to the Trina Group are presented as net sales - related party for the three months ended March 31, 2026 and 2025, respectively. Net sales - related party for the three months ended March 31, 2026 and 2025, are reduced for amortization of $11.3 million and $11.2 million, respectively, for the intangible asset related to a favorable acquired customer contract that was recorded as part of purchase accounting for the Trina</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Business Combination. Deferred revenue from offtake agreements with the Trina Group was $90.0 million and $56.7 million as of March 31, 2026 and December 31, 2025, respectively. The Company has agreements with the Trina Group to supply certain materials and components used in our PV solar module production, provide operational support and sales agency and aftermarket services. Total purchases from Trina Group under the supply agreements were $119.0 million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$51.0 million for the three months ended March 31, 2026 and 2025, respectively. For the three months ended March 31, 2026 and 2025, we incurred $8.5 million and $6.1 million, respectively, in costs which were presented as selling, general and administrative expenses.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receivable, accrued liabilities, and accounts payable with the Trina Group consisted of the following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due from related parties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100,023</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84,481</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 due to related parties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98,996</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67,602</w:t>
            </w:r>
          </w:p>
        </w:tc>
      </w:tr>
      <w:tr>
        <w:trPr>
          <w:trHeight w:val="22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due to related parties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95,152</w:t>
            </w:r>
          </w:p>
        </w:tc>
      </w:tr>
    </w:tbl>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Additionally, we have a debt obligation to Trina Group for the Production Reservation Fee and we have provided Trina Group with the Anti-Dilution</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Right and Capital Raising Anti-Dilution Right as further described in Note 6 – Debt and Note 9 – Redeemable Preferred Stock, Anti-Dilution Right, and Share Purchase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44"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17"/>
          <w:szCs w:val="17"/>
          <w:color w:val="auto"/>
        </w:rPr>
        <w:t>During 2025, we also entered into a contract with Pareto Securities AS, of which the son of Einar Kilde, our former Chief Development Officer, is an equity partner, to act as a broker with respect to the sale of certain assets held in our European business and to perform valuation services of those assets. During the three months ended March 31, 2025, we paid less than $0.1 million in retainer fees to Pareto Securities AS with no comparable amounts in 2026. Additionally, Pareto Securities AS shall receive a minimum broker fee of $0.8 million if there is a completed sale, which is subject to increase based on certain conditions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outlined in the contract. The retainer fee shall be deductible from the broker fee.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NET LOSS PER SHARE</w:t>
      </w:r>
    </w:p>
    <w:p>
      <w:pPr>
        <w:spacing w:after="0" w:line="132"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Company’s basic net loss per share for the three months ended March 31, 2026 and 2025, was computed by dividing net loss attributable to common stockholders by the weighted-average shares of common stock outstanding.</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dividends were declared or paid for the three months ended March 31, 2026 and 2025.</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Diluted net loss per share adjusts basic net loss per share to give effect to all potential common shares that were dilutive and outstanding during the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period. The treasury stock method was used to assess our warrants and share-based payment awards, while the if-converted method was used to assess our shares of redeemable preferred stock.</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amounts related to our European businesses that had previously been classified as held for sale as of December 31, 2024 were reclassified to held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and used during the year ended December 31, 2025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color w:val="auto"/>
        </w:rPr>
        <w:t>The computation of basic and diluted net loss per share is as follows (in thousands, except per share data):</w:t>
      </w:r>
    </w:p>
    <w:p>
      <w:pPr>
        <w:spacing w:after="0" w:line="17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(6,261)</w:t>
            </w:r>
          </w:p>
        </w:tc>
      </w:tr>
      <w:tr>
        <w:trPr>
          <w:trHeight w:val="22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from discontinued operations,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(9,978)</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(16,239)</w:t>
            </w:r>
          </w:p>
        </w:tc>
      </w:tr>
      <w:tr>
        <w:trPr>
          <w:trHeight w:val="21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 dividends and accretion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8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of common stock outstanding - basic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155,933</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ordinary shares outstanding - diluted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285,252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155,933</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share attributable to common stockholders: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share from continuing operations - basic and 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from discontinued operations, net of tax - 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The outstanding securities that could potentially dilute basic net income (loss) per share in the future that were not included in the computation of diluted net income (loss) per share as the impact would be anti-dilutive are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7"/>
                <w:szCs w:val="17"/>
                <w:color w:val="auto"/>
              </w:rPr>
            </w:pPr>
          </w:p>
        </w:tc>
        <w:tc>
          <w:tcPr>
            <w:tcW w:w="2600" w:type="dxa"/>
            <w:vAlign w:val="bottom"/>
            <w:gridSpan w:val="4"/>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r>
      <w:tr>
        <w:trPr>
          <w:trHeight w:val="227"/>
        </w:trPr>
        <w:tc>
          <w:tcPr>
            <w:tcW w:w="79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19"/>
                <w:szCs w:val="19"/>
                <w:color w:val="auto"/>
              </w:rPr>
            </w:pPr>
          </w:p>
        </w:tc>
      </w:tr>
      <w:tr>
        <w:trPr>
          <w:trHeight w:val="213"/>
        </w:trPr>
        <w:tc>
          <w:tcPr>
            <w:tcW w:w="7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8"/>
                <w:szCs w:val="18"/>
                <w:color w:val="auto"/>
              </w:rPr>
            </w:pP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preferred stock (on an as converted basis)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36,621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20,329</w:t>
            </w:r>
          </w:p>
        </w:tc>
      </w:tr>
      <w:tr>
        <w:trPr>
          <w:trHeight w:val="22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2030 Convertible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23,232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14,866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14,675</w:t>
            </w:r>
          </w:p>
        </w:tc>
      </w:tr>
      <w:tr>
        <w:trPr>
          <w:trHeight w:val="22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Warrants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9,950</w:t>
            </w:r>
          </w:p>
        </w:tc>
      </w:tr>
      <w:tr>
        <w:trPr>
          <w:trHeight w:val="22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EDGE warrants</w:t>
            </w:r>
          </w:p>
        </w:tc>
        <w:tc>
          <w:tcPr>
            <w:tcW w:w="166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2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10,104</w:t>
            </w:r>
          </w:p>
        </w:tc>
      </w:tr>
      <w:tr>
        <w:trPr>
          <w:trHeight w:val="22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w:t>
            </w:r>
          </w:p>
        </w:tc>
      </w:tr>
      <w:tr>
        <w:trPr>
          <w:trHeight w:val="21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88,069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59,762</w:t>
            </w:r>
          </w:p>
        </w:tc>
      </w:tr>
      <w:tr>
        <w:trPr>
          <w:trHeight w:val="20"/>
        </w:trPr>
        <w:tc>
          <w:tcPr>
            <w:tcW w:w="7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DISCONTINUED OPERATIONS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2024, we determined that the assets of our European businesses and our Coweta County, Georgia, business met the criteria for classification as held for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sale. Additionally, we concluded that the ultimate disposal will represent a strategic shift that will have a major effect on the Company’s operations and financial results. As of March 31, 2026, the remaining assets, other than certain amounts reclassified to held and used, continue to meet the criteria for classification as held for sale. Refer to Note 1 – Summary of Significant Accounting Policies for further details. The historical results of the businesses that continue to meet the criteria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held for sale are classified as discontinued operations for all periods presented herein.</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On February 15, 2025, we completed the sale of our land in Coweta County, Georgia, for $50.0 million and concurrently repaid a government grant of $20.0 million, which resulted in a $5.7 million gain for the three months ended March 31, 2025, which was recorded in other income, net in our unaudited</w:t>
      </w:r>
    </w:p>
    <w:p>
      <w:pPr>
        <w:jc w:val="both"/>
        <w:spacing w:after="0" w:line="229" w:lineRule="auto"/>
        <w:rPr>
          <w:sz w:val="20"/>
          <w:szCs w:val="20"/>
          <w:color w:val="auto"/>
        </w:rPr>
      </w:pPr>
      <w:r>
        <w:rPr>
          <w:rFonts w:ascii="Times New Roman" w:cs="Times New Roman" w:eastAsia="Times New Roman" w:hAnsi="Times New Roman"/>
          <w:sz w:val="17"/>
          <w:szCs w:val="17"/>
          <w:color w:val="auto"/>
        </w:rPr>
        <w:t>condensed consolidated statement of operations and comprehensive loss. As of March 31, 2026 and December 31, 2025, $7.0 million of repayable government grants for the project were classified within current liabilities of discontinued operations on our unaudited condensed consolidated balance sheets.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the terms of the Transaction Agreement, we agreed to use reasonable efforts to dispose of, divest, transfer, or otherwise sell the assets and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operations that constitute our European business within six months of December 23, 2024. Unless waived by the counterparty in writing, we expect to incur fees of $2.0 million per month until the business is disposed of. Additionally, if the total consideration received through the disposal is less than $45.0 million, we will owe fees equal to 19.9% of the shortfall.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2" w:name="page23"/>
    <w:bookmarkEnd w:id="22"/>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As of March 31, 2026, certain of our European business assets remain unsold and continue to be held for sale. The historical results of this business are classified as discontinued operations in our unaudited condensed consolidated financial statements. Due to the terms of the Transaction Agreement that require us to sell our European business, we have accrued estimated fees of $35.2 million and $26.8 million as of March 31, 2026 and December 31, 2025,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Details of net loss from discontinued operations, net of taxes, are as follows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23"/>
        </w:trPr>
        <w:tc>
          <w:tcPr>
            <w:tcW w:w="8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4"/>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8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100" w:type="dxa"/>
            <w:vAlign w:val="bottom"/>
            <w:tcBorders>
              <w:bottom w:val="single" w:sz="8" w:color="auto"/>
            </w:tcBorders>
          </w:tcPr>
          <w:p>
            <w:pPr>
              <w:spacing w:after="0"/>
              <w:rPr>
                <w:sz w:val="20"/>
                <w:szCs w:val="20"/>
                <w:color w:val="auto"/>
              </w:rPr>
            </w:pPr>
          </w:p>
        </w:tc>
      </w:tr>
      <w:tr>
        <w:trPr>
          <w:trHeight w:val="215"/>
        </w:trPr>
        <w:tc>
          <w:tcPr>
            <w:tcW w:w="8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tcPr>
          <w:p>
            <w:pPr>
              <w:spacing w:after="0"/>
              <w:rPr>
                <w:sz w:val="19"/>
                <w:szCs w:val="19"/>
                <w:color w:val="auto"/>
              </w:rPr>
            </w:pPr>
          </w:p>
        </w:tc>
        <w:tc>
          <w:tcPr>
            <w:tcW w:w="54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charge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 of net loss of equity method investee</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w:t>
            </w:r>
          </w:p>
        </w:tc>
      </w:tr>
      <w:tr>
        <w:trPr>
          <w:trHeight w:val="238"/>
        </w:trPr>
        <w:tc>
          <w:tcPr>
            <w:tcW w:w="8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w:t>
            </w: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5,675</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(10,278)</w:t>
            </w:r>
          </w:p>
        </w:tc>
      </w:tr>
      <w:tr>
        <w:trPr>
          <w:trHeight w:val="22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w:t>
            </w: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before income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w:t>
            </w:r>
          </w:p>
        </w:tc>
      </w:tr>
      <w:tr>
        <w:trPr>
          <w:trHeight w:val="23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from discontinued operations, net of tax</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center"/>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Allocated general corporate overhead costs do not meet the criteria to be presented within net loss from discontinued operations, net of tax, and were excluded from all figures presented in the table above.</w:t>
      </w:r>
    </w:p>
    <w:p>
      <w:pPr>
        <w:spacing w:after="0" w:line="10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Details of the assets and liabilities of discontinued operations classified as held for sale in our unaudited condensed consolidated balance sheets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 w:type="dxa"/>
            <w:vAlign w:val="bottom"/>
          </w:tcPr>
          <w:p>
            <w:pPr>
              <w:spacing w:after="0"/>
              <w:rPr>
                <w:sz w:val="19"/>
                <w:szCs w:val="19"/>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18,046</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 under operating leases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r>
      <w:tr>
        <w:trPr>
          <w:trHeight w:val="213"/>
        </w:trPr>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Current assets of discontinued operations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19,418</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4"/>
        </w:trPr>
        <w:tc>
          <w:tcPr>
            <w:tcW w:w="7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28,035</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12,401</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213"/>
        </w:trPr>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Current liabilities of discontinued operations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47,538</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3" w:name="page24"/>
    <w:bookmarkEnd w:id="23"/>
    <w:p>
      <w:pPr>
        <w:jc w:val="both"/>
        <w:ind w:firstLine="620"/>
        <w:spacing w:after="0"/>
        <w:rPr>
          <w:sz w:val="20"/>
          <w:szCs w:val="20"/>
          <w:color w:val="auto"/>
        </w:rPr>
      </w:pPr>
      <w:r>
        <w:rPr>
          <w:rFonts w:ascii="Times New Roman" w:cs="Times New Roman" w:eastAsia="Times New Roman" w:hAnsi="Times New Roman"/>
          <w:sz w:val="17"/>
          <w:szCs w:val="17"/>
          <w:color w:val="auto"/>
        </w:rPr>
        <w:t>The cash flows related to discontinued operations have not been segregated and are included in our unaudited condensed consolidated statements of cash flows. Cash flow and non-cash information for the discontinued operations are as follows (in thousands):</w:t>
      </w:r>
    </w:p>
    <w:p>
      <w:pPr>
        <w:spacing w:after="0" w:line="14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7"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8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8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w:t>
            </w:r>
          </w:p>
        </w:tc>
      </w:tr>
      <w:tr>
        <w:trPr>
          <w:trHeight w:val="22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the return of property and equipment deposits</w:t>
            </w: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w:t>
            </w:r>
          </w:p>
        </w:tc>
      </w:tr>
      <w:tr>
        <w:trPr>
          <w:trHeight w:val="22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8"/>
              </w:rPr>
              <w:t>15,358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SEGMENTS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single operating segment derives its revenues from the manufacturing and sale of PV solar modules. Accordingly, our chief operating decision maker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(“CODM”), the Chief Executive Officer and Chairman of the Board, manages the Company’s business activities as a single operating and reportable segment at the consolidated level. Our CODM uses consolidated net loss to measure segment profit or loss, allocate resources, and assess performance. Further, our CODM reviews and utilizes certain significant segment expenses at the consolidated level to manage the Company’s operations. Our CODM uses these metrics to evaluate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acquisitions of complementary businesses and divestitures of non-core assets.</w:t>
      </w:r>
    </w:p>
    <w:p>
      <w:pPr>
        <w:spacing w:after="0" w:line="11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The measure of segment assets is reported on our unaudited condensed consolidated balance sheets as total assets. We do not have intra-entity transactions. Segment results are as follows (in thousands):</w:t>
      </w:r>
    </w:p>
    <w:p>
      <w:pPr>
        <w:spacing w:after="0" w:line="155"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8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53,452</w:t>
            </w:r>
          </w:p>
        </w:tc>
      </w:tr>
      <w:tr>
        <w:trPr>
          <w:trHeight w:val="220"/>
        </w:trPr>
        <w:tc>
          <w:tcPr>
            <w:tcW w:w="79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35,671</w:t>
            </w:r>
          </w:p>
        </w:tc>
      </w:tr>
      <w:tr>
        <w:trPr>
          <w:trHeight w:val="220"/>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43,379</w:t>
            </w:r>
          </w:p>
        </w:tc>
      </w:tr>
      <w:tr>
        <w:trPr>
          <w:trHeight w:val="22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9,853</w:t>
            </w:r>
          </w:p>
        </w:tc>
      </w:tr>
      <w:tr>
        <w:trPr>
          <w:trHeight w:val="220"/>
        </w:trPr>
        <w:tc>
          <w:tcPr>
            <w:tcW w:w="79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(26,677)</w:t>
            </w:r>
          </w:p>
        </w:tc>
      </w:tr>
      <w:tr>
        <w:trPr>
          <w:trHeight w:val="22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(6,261)</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60" w:hanging="157"/>
        <w:spacing w:after="0"/>
        <w:tabs>
          <w:tab w:leader="none" w:pos="1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significant segment expenses and amounts herein align with the segment-level information that is regularly provided to our CODM.</w:t>
      </w:r>
    </w:p>
    <w:p>
      <w:pPr>
        <w:spacing w:after="0" w:line="112" w:lineRule="exact"/>
        <w:rPr>
          <w:rFonts w:ascii="Times New Roman" w:cs="Times New Roman" w:eastAsia="Times New Roman" w:hAnsi="Times New Roman"/>
          <w:sz w:val="20"/>
          <w:szCs w:val="20"/>
          <w:color w:val="auto"/>
          <w:vertAlign w:val="superscript"/>
        </w:rPr>
      </w:pPr>
    </w:p>
    <w:p>
      <w:pPr>
        <w:ind w:left="240" w:hanging="237"/>
        <w:spacing w:after="0" w:line="209" w:lineRule="auto"/>
        <w:tabs>
          <w:tab w:leader="none" w:pos="262"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includes warrant liability fair value adjustment, impairment of assets previously classified as held for sale, derivative liabilities fair value adjustment, and other income, net, from our unaudited condensed consolidated statements of operations and comprehensive loss.</w:t>
      </w:r>
    </w:p>
    <w:p>
      <w:pPr>
        <w:spacing w:after="0" w:line="100"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Within our single segment for the three months ended March 31, 2026 and 2025 total expenditures for additions to long-lived assets were $57.4 million and $28.5 million,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SUBSEQUENT EVENTS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On April 17, 2026, we completed a public offering of $184.0 million aggregate principal amount of the Company’s 4.00% Convertible Senior Notes due 2031 (the “2031 Convertible Notes”), which amount included $24.0 million aggregate principal of 2031 Convertible Notes issued pursuant to the underwriters’</w:t>
      </w:r>
    </w:p>
    <w:p>
      <w:pPr>
        <w:spacing w:after="0"/>
        <w:rPr>
          <w:sz w:val="20"/>
          <w:szCs w:val="20"/>
          <w:color w:val="auto"/>
        </w:rPr>
      </w:pPr>
      <w:r>
        <w:rPr>
          <w:rFonts w:ascii="Times New Roman" w:cs="Times New Roman" w:eastAsia="Times New Roman" w:hAnsi="Times New Roman"/>
          <w:sz w:val="17"/>
          <w:szCs w:val="17"/>
          <w:color w:val="auto"/>
        </w:rPr>
        <w:t>option to cover over-allotments.</w:t>
      </w:r>
    </w:p>
    <w:p>
      <w:pPr>
        <w:spacing w:after="0" w:line="110" w:lineRule="exact"/>
        <w:rPr>
          <w:sz w:val="20"/>
          <w:szCs w:val="20"/>
          <w:color w:val="auto"/>
        </w:rPr>
      </w:pPr>
    </w:p>
    <w:p>
      <w:pPr>
        <w:ind w:firstLine="620"/>
        <w:spacing w:after="0" w:line="225" w:lineRule="auto"/>
        <w:rPr>
          <w:sz w:val="20"/>
          <w:szCs w:val="20"/>
          <w:color w:val="auto"/>
        </w:rPr>
      </w:pPr>
      <w:r>
        <w:rPr>
          <w:rFonts w:ascii="Times New Roman" w:cs="Times New Roman" w:eastAsia="Times New Roman" w:hAnsi="Times New Roman"/>
          <w:sz w:val="17"/>
          <w:szCs w:val="17"/>
          <w:color w:val="auto"/>
        </w:rPr>
        <w:t>The 2031 Convertible Notes are senior unsecured obligations of the Company and bear interest at a rate of 4.00% per year, payable semi-annually in arrears on April 15 and October 15 of each year, beginning on October 15, 2026. The 2031 Convertible Notes will mature on April 15, 2031, unless earlier</w:t>
      </w:r>
    </w:p>
    <w:p>
      <w:pPr>
        <w:spacing w:after="0"/>
        <w:rPr>
          <w:sz w:val="20"/>
          <w:szCs w:val="20"/>
          <w:color w:val="auto"/>
        </w:rPr>
      </w:pPr>
      <w:r>
        <w:rPr>
          <w:rFonts w:ascii="Times New Roman" w:cs="Times New Roman" w:eastAsia="Times New Roman" w:hAnsi="Times New Roman"/>
          <w:sz w:val="17"/>
          <w:szCs w:val="17"/>
          <w:color w:val="auto"/>
        </w:rPr>
        <w:t>repurchased, redeemed or converted.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should be read in conjunction with our unaudited condensed consolidated financial statements and the accompanying notes thereto contained in Part I, Item 1 “Financial Statements” and the other disclosures in</w:t>
      </w:r>
    </w:p>
    <w:p>
      <w:pPr>
        <w:jc w:val="both"/>
        <w:spacing w:after="0" w:line="221" w:lineRule="auto"/>
        <w:rPr>
          <w:sz w:val="20"/>
          <w:szCs w:val="20"/>
          <w:color w:val="auto"/>
        </w:rPr>
      </w:pPr>
      <w:r>
        <w:rPr>
          <w:rFonts w:ascii="Times New Roman" w:cs="Times New Roman" w:eastAsia="Times New Roman" w:hAnsi="Times New Roman"/>
          <w:sz w:val="17"/>
          <w:szCs w:val="17"/>
          <w:color w:val="auto"/>
        </w:rPr>
        <w:t>this Quarterly Report on Form 10-Q and with the disclosures in our Annual Report on Form 10-K for the year ended December 31, 2025, which was filed with the Securities and Exchange Commission (“SEC”) on March 31, 2026, as amended and supplemented by Amendment No. 1 of Form 10-K/A filed with the SEC on April 30,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2"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T1 Energy Inc., a Delaware corporation (“T1”, the “Company”, “we”, or “us”), is an energy solutions provider building an integrated U.S. supply chain for solar modules and cells. We currently manufacture and sell photovoltaic (“PV”) solar modules.</w:t>
      </w:r>
    </w:p>
    <w:p>
      <w:pPr>
        <w:spacing w:after="0" w:line="113"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by the end of 2026 of high-efficiency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TOPCon solar cells that will be used in the PV solar modules manufactured at G1_Dallas.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32"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For the three months ended March 31, 2026, we recognized total net sales of $177.6 million in the period. Additionally, we ended the first quarter with cash, cash equivalents, and restricted cash of $123.7 million.</w:t>
      </w:r>
    </w:p>
    <w:p>
      <w:pPr>
        <w:spacing w:after="0" w:line="87"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On April 17, 2026, we completed a public offering of $184.0 million aggregate principal amount of the Company’s 4.00% Convertible Senior Notes due 2031 (the “2031 Convertible Notes”), which included $24.0 million aggregate principal amount of 2031 Convertible Notes, pursuant to the underwriters’ option to cover over-allotments.</w:t>
      </w:r>
    </w:p>
    <w:p>
      <w:pPr>
        <w:spacing w:after="0" w:line="115"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The 2031 Convertible Notes are senior unsecured obligations of the Company and bear interest of 4.00% per year, payable semi-annually in arrears on April 15 and October 15 of each year, beginning on October 15, 2026. The 2031 Convertible Notes will mature on April 15, 2031, unless earlier repurchased, redeemed or converted.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and macroeconomic updates</w:t>
      </w:r>
    </w:p>
    <w:p>
      <w:pPr>
        <w:spacing w:after="0" w:line="134"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Demand for our PV solar module offerings depends, in part, on market factors outside our control. For example, the United States has recently announced changes to its global trade policy, including significant tariffs on imports from China, Vietnam, Mexico, Canada, and other countries. These actions, and retaliatory</w:t>
      </w:r>
    </w:p>
    <w:p>
      <w:pPr>
        <w:jc w:val="both"/>
        <w:spacing w:after="0" w:line="211" w:lineRule="auto"/>
        <w:rPr>
          <w:sz w:val="20"/>
          <w:szCs w:val="20"/>
          <w:color w:val="auto"/>
        </w:rPr>
      </w:pPr>
      <w:r>
        <w:rPr>
          <w:rFonts w:ascii="Times New Roman" w:cs="Times New Roman" w:eastAsia="Times New Roman" w:hAnsi="Times New Roman"/>
          <w:sz w:val="17"/>
          <w:szCs w:val="17"/>
          <w:color w:val="auto"/>
        </w:rPr>
        <w:t>tariffs imposed by other countries on U.S. goods and exports, have led to significant volatility and uncertainty in global markets. Additionally, the One Big Beautiful Bill Act (“OBBBA”) introduced new restrictions on equity and debt ownership, material assistance, operational contracts and intellectual property arrangements with Foreign-Influenced Entities (“FIEs”) and/or Specified Foreign Entities (“SFEs”) (collectively, Prohibited Foreign Entities (“PFEs”)) designed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to prevent such entities from accessing tax credits available under the Inflation Reduction Act of 2022 (the “IRA”). The Company recognizes compliance with these provisions of the OBBBA as a significant regulatory and business priority, and we are focused and actively working to ensure we maintain compliance with these provisions to allow us and our customers to retain the availability of tax credits in the future.</w:t>
      </w:r>
    </w:p>
    <w:p>
      <w:pPr>
        <w:spacing w:after="0" w:line="114" w:lineRule="exact"/>
        <w:rPr>
          <w:sz w:val="20"/>
          <w:szCs w:val="20"/>
          <w:color w:val="auto"/>
        </w:rPr>
      </w:pPr>
    </w:p>
    <w:p>
      <w:pPr>
        <w:ind w:firstLine="620"/>
        <w:spacing w:after="0"/>
        <w:rPr>
          <w:sz w:val="20"/>
          <w:szCs w:val="20"/>
          <w:color w:val="auto"/>
        </w:rPr>
      </w:pPr>
      <w:r>
        <w:rPr>
          <w:rFonts w:ascii="Times New Roman" w:cs="Times New Roman" w:eastAsia="Times New Roman" w:hAnsi="Times New Roman"/>
          <w:sz w:val="17"/>
          <w:szCs w:val="17"/>
          <w:color w:val="auto"/>
        </w:rPr>
        <w:t>On December 30, 2025, we announced a series of transactions intended to allow us to continue our eligibility for 45X Tax Credits (as later defined) in 2026 and beyond. In this update, we detailed our actions designed to facilitate compliance with the following requirements:</w:t>
      </w:r>
    </w:p>
    <w:p>
      <w:pPr>
        <w:spacing w:after="0" w:line="96" w:lineRule="exact"/>
        <w:rPr>
          <w:sz w:val="20"/>
          <w:szCs w:val="20"/>
          <w:color w:val="auto"/>
        </w:rPr>
      </w:pPr>
    </w:p>
    <w:p>
      <w:pPr>
        <w:ind w:left="620" w:hanging="307"/>
        <w:spacing w:after="0" w:line="261"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Trina Solar (Schweiz) AG’s (“Trina Solar”) equity holdings have never exceeded the 25% limit under the OBBBA. In addition, to further bolster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compliance position, we have amended our certificate of incorporation to provide certain limits on SFE equity ownership.</w:t>
      </w:r>
    </w:p>
    <w:p>
      <w:pPr>
        <w:spacing w:after="0" w:line="78" w:lineRule="exact"/>
        <w:rPr>
          <w:rFonts w:ascii="Times New Roman" w:cs="Times New Roman" w:eastAsia="Times New Roman" w:hAnsi="Times New Roman"/>
          <w:sz w:val="17"/>
          <w:szCs w:val="17"/>
          <w:color w:val="auto"/>
        </w:rPr>
      </w:pPr>
    </w:p>
    <w:p>
      <w:pPr>
        <w:ind w:left="620" w:hanging="307"/>
        <w:spacing w:after="0" w:line="24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We raised significant capital in late 2025 and have used certain of that capital, together with shares of common stock, to make a substantial 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repayment to Trina Solar. As a result, the percentage of our debt held by Trina Solar is below the relevant threshold set by the OBBBA.</w:t>
      </w:r>
    </w:p>
    <w:p>
      <w:pPr>
        <w:spacing w:after="0" w:line="10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Appointment of Covered Officers</w:t>
      </w:r>
      <w:r>
        <w:rPr>
          <w:rFonts w:ascii="Times New Roman" w:cs="Times New Roman" w:eastAsia="Times New Roman" w:hAnsi="Times New Roman"/>
          <w:sz w:val="17"/>
          <w:szCs w:val="17"/>
          <w:color w:val="auto"/>
        </w:rPr>
        <w:t>: We and Trina Solar entered into an agreement that removes Trina Solar’s previous right to appoint a covered officer.</w:t>
      </w:r>
    </w:p>
    <w:p>
      <w:pPr>
        <w:spacing w:after="0" w:line="127" w:lineRule="exact"/>
        <w:rPr>
          <w:rFonts w:ascii="Times New Roman" w:cs="Times New Roman" w:eastAsia="Times New Roman" w:hAnsi="Times New Roman"/>
          <w:sz w:val="17"/>
          <w:szCs w:val="17"/>
          <w:color w:val="auto"/>
        </w:rPr>
      </w:pPr>
    </w:p>
    <w:p>
      <w:pPr>
        <w:ind w:left="620" w:hanging="307"/>
        <w:spacing w:after="0" w:line="24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 Control</w:t>
      </w:r>
      <w:r>
        <w:rPr>
          <w:rFonts w:ascii="Times New Roman" w:cs="Times New Roman" w:eastAsia="Times New Roman" w:hAnsi="Times New Roman"/>
          <w:sz w:val="17"/>
          <w:szCs w:val="17"/>
          <w:color w:val="auto"/>
        </w:rPr>
        <w:t>: After careful analysis and diligence, we concluded that we do not have any agreements that would render us an SFE pursuant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control” provisions of the OBBBA.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5" w:name="page26"/>
    <w:bookmarkEnd w:id="25"/>
    <w:p>
      <w:pPr>
        <w:jc w:val="both"/>
        <w:ind w:left="620" w:hanging="307"/>
        <w:spacing w:after="0" w:line="23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We previously licensed certain patents and other intellectual property from Trina Solar. Trina Solar recently sold that intellectual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to Evervolt and as a result we now license such intellectual property from Evervolt. After conducting customary diligence on Evervolt, we believe that Evervolt is not an SFE.</w:t>
      </w:r>
    </w:p>
    <w:p>
      <w:pPr>
        <w:spacing w:after="0" w:line="109" w:lineRule="exact"/>
        <w:rPr>
          <w:rFonts w:ascii="Times New Roman" w:cs="Times New Roman" w:eastAsia="Times New Roman" w:hAnsi="Times New Roman"/>
          <w:sz w:val="17"/>
          <w:szCs w:val="17"/>
          <w:color w:val="auto"/>
        </w:rPr>
      </w:pPr>
    </w:p>
    <w:p>
      <w:pPr>
        <w:jc w:val="both"/>
        <w:ind w:left="620" w:hanging="307"/>
        <w:spacing w:after="0" w:line="22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Material Assistance</w:t>
      </w:r>
      <w:r>
        <w:rPr>
          <w:rFonts w:ascii="Times New Roman" w:cs="Times New Roman" w:eastAsia="Times New Roman" w:hAnsi="Times New Roman"/>
          <w:sz w:val="17"/>
          <w:szCs w:val="17"/>
          <w:color w:val="auto"/>
        </w:rPr>
        <w:t>: After conducting supply chain diligence, we have purchased solar cells for use in a portion of our PV solar modules to be produced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2026 from a supplier that has provided certifications of its non-PFE (“MA Compliant”) status and are undertaking diligence to ensure the remainder of cells for use in 2026 will be MA Compliant. Our efforts to build a domestic supply chain, including domestic cells to be produced at our G2_Austin facility, domestic polysilicon from Hemlock Semiconductor, domestic wafers from Corning, and domestic steel frames from Nextpower are expected to further bolster our ongoing material assistance compliance efforts.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12, 2026, the United States Department of the Treasury released initial guidance pertaining to the implementation of PFE restrictions under</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OBBBA. We believe that we remain in compliance with these restrictions and expect to be eligible for 45X Tax Credits. Such guidance is consistent with our interpretation of the relevant OBBBA provisions and validates the compliance plan that we developed and implemented.</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New or increased tariffs, changes to existing legislation, and other potential trade policy developments, including with respect to enforceability, are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important factors that can impact our business. Historically, tariffs have led to increased trade and political tensions. Political tensions as a result of trade policies could reduce trade volume, investment, and other economic activities between major international economies, resulting in a material adverse effect on global economic conditions and on the stability of global financial markets. There is substantial uncertainty about the duration of existing tariffs, potential changes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tariffs and legislation, and whether additional tariffs may be imposed, modified, or suspended, and the impacts of such actions on our business.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As a leading and growing American advanced solar technology manufacturer, we broadly support tariffs that are intended to benefit the U.S. solar manufacturing industry, investment in reverse technology transfer, and onshoring of critical U.S. energy supply chains. We are specifically in favor of anti-</w:t>
      </w:r>
    </w:p>
    <w:p>
      <w:pPr>
        <w:spacing w:after="0"/>
        <w:rPr>
          <w:sz w:val="20"/>
          <w:szCs w:val="20"/>
          <w:color w:val="auto"/>
        </w:rPr>
      </w:pPr>
      <w:r>
        <w:rPr>
          <w:rFonts w:ascii="Times New Roman" w:cs="Times New Roman" w:eastAsia="Times New Roman" w:hAnsi="Times New Roman"/>
          <w:sz w:val="17"/>
          <w:szCs w:val="17"/>
          <w:color w:val="auto"/>
        </w:rPr>
        <w:t>dumping and countervailing duties (AD/CVD) in the ‘Solar 4’ case as well as the potential implementation of a Section 232 tariff on imported polysilicon.</w:t>
      </w:r>
    </w:p>
    <w:p>
      <w:pPr>
        <w:spacing w:after="0" w:line="11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We are operating in an uncertain macroeconomic environment with significant volatility that may impact consumer demand. To the extent the macroeconomic environment worsens, it may have a material effect on our results of operations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on our unaudited condensed consolidated results of operations (in thousands, except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00" w:type="dxa"/>
            <w:vAlign w:val="bottom"/>
          </w:tcPr>
          <w:p>
            <w:pPr>
              <w:spacing w:after="0"/>
              <w:rPr>
                <w:sz w:val="19"/>
                <w:szCs w:val="19"/>
                <w:color w:val="auto"/>
              </w:rPr>
            </w:pPr>
          </w:p>
        </w:tc>
        <w:tc>
          <w:tcPr>
            <w:tcW w:w="216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2026 vs 2025 Change</w:t>
            </w:r>
          </w:p>
        </w:tc>
      </w:tr>
      <w:tr>
        <w:trPr>
          <w:trHeight w:val="213"/>
        </w:trPr>
        <w:tc>
          <w:tcPr>
            <w:tcW w:w="5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sales - related party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53,452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123,954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1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124,195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2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35,671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112,892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51,589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43,379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51,589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26,185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discontinued operations, 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(24,321)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2215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15515" cy="825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146"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Net sales consist of sales of PV solar modules net of intangible asset amortization for customer contracts. We recognize sales for PV solar modules at a point in time following the transfer of control of the modules to the customer, which typically occurs upon shipment or delivery depending on the terms of the underlying contracts.</w:t>
      </w:r>
    </w:p>
    <w:p>
      <w:pPr>
        <w:spacing w:after="0" w:line="115"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Total net sales increased by $124.2 million in the first quarter of 2026 compared to the first quarter of 2025. We began selling PV solar modules after our acquisition of all the shares of capital stock of Trina Solar (U.S.) Holding, Inc.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6" w:name="page27"/>
    <w:bookmarkEnd w:id="26"/>
    <w:p>
      <w:pPr>
        <w:jc w:val="both"/>
        <w:spacing w:after="0"/>
        <w:rPr>
          <w:sz w:val="20"/>
          <w:szCs w:val="20"/>
          <w:color w:val="auto"/>
        </w:rPr>
      </w:pPr>
      <w:r>
        <w:rPr>
          <w:rFonts w:ascii="Times New Roman" w:cs="Times New Roman" w:eastAsia="Times New Roman" w:hAnsi="Times New Roman"/>
          <w:sz w:val="17"/>
          <w:szCs w:val="17"/>
          <w:color w:val="auto"/>
        </w:rPr>
        <w:t>related subsidiaries on December 23, 2024 (the “Trina Business Combination”). We have increased production of PV solar modules from G1_Dallas throughout 2025 after the facility became fully operational during the second quarter of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146"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Cost of sales includes the cost of raw materials and components for manufacturing PV solar modules. In addition, our cost of sales includes direct labor for the manufacturing of PV solar modules and manufacturing overhead, such as engineering, equipment maintenance, quality and production control, and information technology. Our cost of sales also includes depreciation of manufacturing plant and equipment, facility-related expenses, environmental health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safety costs, and costs associated with shipping. These costs are offset by our generation of 45X Tax Credits.</w:t>
      </w:r>
    </w:p>
    <w:p>
      <w:pPr>
        <w:spacing w:after="0" w:line="11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Cost of sales increased by $112.9 million in the first quarter of 2026 compared to the first quarter of 2025 as a direct result of increased net sales period over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134"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personnel and personnel-related expenses for our sales, marketing and administrative personnel, commissions, royalty fees, costs for administrative offices, insurance, and outside professional services including legal, accounting, and other advisory</w:t>
      </w:r>
    </w:p>
    <w:p>
      <w:pPr>
        <w:spacing w:after="0"/>
        <w:rPr>
          <w:sz w:val="20"/>
          <w:szCs w:val="20"/>
          <w:color w:val="auto"/>
        </w:rPr>
      </w:pPr>
      <w:r>
        <w:rPr>
          <w:rFonts w:ascii="Times New Roman" w:cs="Times New Roman" w:eastAsia="Times New Roman" w:hAnsi="Times New Roman"/>
          <w:sz w:val="17"/>
          <w:szCs w:val="17"/>
          <w:color w:val="auto"/>
        </w:rPr>
        <w:t>services.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Selling, general and administrative expenses increased by $8.2 million, or 19%, in the first quarter of 2026 compared to the first quarter 2025. This increase is primarily due to an increase in commissions, royalty fees, personnel costs and legal and professional fees and in concert with our ongoing public policy</w:t>
      </w:r>
    </w:p>
    <w:p>
      <w:pPr>
        <w:jc w:val="both"/>
        <w:spacing w:after="0" w:line="229" w:lineRule="auto"/>
        <w:rPr>
          <w:sz w:val="20"/>
          <w:szCs w:val="20"/>
          <w:color w:val="auto"/>
        </w:rPr>
      </w:pPr>
      <w:r>
        <w:rPr>
          <w:rFonts w:ascii="Times New Roman" w:cs="Times New Roman" w:eastAsia="Times New Roman" w:hAnsi="Times New Roman"/>
          <w:sz w:val="17"/>
          <w:szCs w:val="17"/>
          <w:color w:val="auto"/>
        </w:rPr>
        <w:t>program. Commissions, royalty fees, and other selling costs of $8.5 million and $6.1 million were incurred under arrangements with Trina Solar and its affiliates (the “Trina Group”), a related party, for the three months ended March 31, 2026 and 2025,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other income</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other income primarily consists of the fair value adjustments on our warrant and derivative liabilities, and interest expense, net.</w:t>
      </w:r>
    </w:p>
    <w:p>
      <w:pPr>
        <w:spacing w:after="0" w:line="128"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Total other income increased by $9.4 million in the first quarter of 2026 compared to the first quarter of 2025. The change is primarily due to a decrease in interest expense of $3.7 million and an increase in gain on warrant liability fair value adjustment of $8.8 million and other income of $1.8 million, which are partially offset by a decrease in gain on derivatives liability fair value adjustment of $5.3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from discontinued operations, net of tax</w:t>
      </w:r>
    </w:p>
    <w:p>
      <w:pPr>
        <w:spacing w:after="0" w:line="134"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We concluded that certain assets of our European businesses and our business in Coweta County, Georgia met the criteria for classification as held for sale as of December 31, 2024 and 2025. Additionally, we concluded that the ultimate disposal of these businesses represent a strategic shift that has had a major</w:t>
      </w:r>
    </w:p>
    <w:p>
      <w:pPr>
        <w:spacing w:after="0"/>
        <w:rPr>
          <w:sz w:val="20"/>
          <w:szCs w:val="20"/>
          <w:color w:val="auto"/>
        </w:rPr>
      </w:pPr>
      <w:r>
        <w:rPr>
          <w:rFonts w:ascii="Times New Roman" w:cs="Times New Roman" w:eastAsia="Times New Roman" w:hAnsi="Times New Roman"/>
          <w:sz w:val="17"/>
          <w:szCs w:val="17"/>
          <w:color w:val="auto"/>
        </w:rPr>
        <w:t>effect on our operations, resulting in the presentation of the historical financial results of these businesses as discontinued operations.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Net loss from discontinued operations, net of tax increased by $14.3 million, or 144%, in the first quarter of 2026 compared to the first quarter of 2025. The increase primarily relates to an accrual of estimated penalties associated with the expected disposal of our European businesses and an increase in valuation</w:t>
      </w:r>
    </w:p>
    <w:p>
      <w:pPr>
        <w:jc w:val="both"/>
        <w:spacing w:after="0" w:line="221" w:lineRule="auto"/>
        <w:rPr>
          <w:sz w:val="20"/>
          <w:szCs w:val="20"/>
          <w:color w:val="auto"/>
        </w:rPr>
      </w:pPr>
      <w:r>
        <w:rPr>
          <w:rFonts w:ascii="Times New Roman" w:cs="Times New Roman" w:eastAsia="Times New Roman" w:hAnsi="Times New Roman"/>
          <w:sz w:val="17"/>
          <w:szCs w:val="17"/>
          <w:color w:val="auto"/>
        </w:rPr>
        <w:t>allowance for assets classified as held for sale within discontinued operations, along with the impact of the gain from the sale of land in Coweta County that was recognized in the first quarter of 2025 with no comparable amount in the first quarter of 2026. These amounts are offset by a reduction in research and development activity for our European businesses for the comparable periods.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34"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As of March 31, 2026, we had approximately $123.7 million of cash, cash equivalents, and restricted cash. Our principal sources of liquidity are cash and cash equivalents, issuances of equity and debt securities, cash flows from operating activities and amounts received from government tax credits and incentives.</w:t>
      </w:r>
    </w:p>
    <w:p>
      <w:pPr>
        <w:spacing w:after="0" w:line="87"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We believe that we have sufficient liquidity to meet our contractual obligations and commitments for at least the next 12 months from the issuance of these financial statements.</w:t>
      </w:r>
    </w:p>
    <w:p>
      <w:pPr>
        <w:spacing w:after="0" w:line="113"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Our future liquidity requirements depend on many factors, including the timing and extent of the following: capital expenditures for construction of future facilities and purchase of related equipment; spending on other growth initiatives; spending to support revenue generating activities; and general economic conditions. In addition to those activities, our short-term liquidity will be utilized to fund the current portion of non-cancellable commitments including leases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obligations.</w:t>
      </w:r>
    </w:p>
    <w:p>
      <w:pPr>
        <w:spacing w:after="0" w:line="11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We continue to evaluate the extent of benefits available to us by the IRA, which are expected to favorably impact our liquidity and capital resources in future periods. For example, we currently expect to qualify for the Advanced Manufacturing Production Credit (the “45X Tax Credit”) under Section 45X of the</w:t>
      </w:r>
    </w:p>
    <w:p>
      <w:pPr>
        <w:spacing w:after="0"/>
        <w:rPr>
          <w:sz w:val="20"/>
          <w:szCs w:val="20"/>
          <w:color w:val="auto"/>
        </w:rPr>
      </w:pPr>
      <w:r>
        <w:rPr>
          <w:rFonts w:ascii="Times New Roman" w:cs="Times New Roman" w:eastAsia="Times New Roman" w:hAnsi="Times New Roman"/>
          <w:sz w:val="17"/>
          <w:szCs w:val="17"/>
          <w:color w:val="auto"/>
        </w:rPr>
        <w:t>Internal Revenue Code of 1986, as amended (the “IRC”), which provides certain specified benefits for PV solar modules and PV solar module components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7" w:name="page28"/>
    <w:bookmarkEnd w:id="27"/>
    <w:p>
      <w:pPr>
        <w:jc w:val="both"/>
        <w:spacing w:after="0" w:line="218" w:lineRule="auto"/>
        <w:rPr>
          <w:sz w:val="20"/>
          <w:szCs w:val="20"/>
          <w:color w:val="auto"/>
        </w:rPr>
      </w:pPr>
      <w:r>
        <w:rPr>
          <w:rFonts w:ascii="Times New Roman" w:cs="Times New Roman" w:eastAsia="Times New Roman" w:hAnsi="Times New Roman"/>
          <w:sz w:val="17"/>
          <w:szCs w:val="17"/>
          <w:color w:val="auto"/>
        </w:rPr>
        <w:t>manufactured in the United States and sold to third parties. Such credit may be refundable by the Internal Revenue Service (the “IRS”) or transferable to a third party and is available from 2023 to 2032, subject to phase down beginning in 2030. Based on the current form factor of our modules, we expect to qualify for a credit of approximately 7 cents per watt for each module produced in the United States and sold to a third party. Accordingly, we expect the 45X Tax Credits we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generate will continue to provide us with a significant source of funding. Any changes to the statutes or regulatory guidance regarding Section 45X of the IRC arising, for example, through (i) technical guidance and regulations from the IRS and U.S. Treasury Department, (ii) subsequent amendments to or interpretations of the law by the IRS, the U.S. Treasury Department, or the courts, (iii) future laws or regulations rendering certain provisions of the IRA less effective 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ineffective, in whole or in part, or (iv) changes to U.S. government priorities, policies, or initiatives, could materially adversely impact our financial condition, results of operations, and cash flows.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long-term operating plan requires the repayment of non-cancellable commitments including leases and debt obligations. In addition, our planned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investments in our business and manufacturing footprint, as currently devised, will require significant financing to complete. Such financing may not be available at terms acceptable to us, or at all. The credit market and financial services industry have in the past, and may in the future, experience periods of uncertainty that could impact the availability and cost of equity and debt financing. If we are unable to raise substantial additional capital, our ability to invest in further facilities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or other development projects will be significantly delayed or curtailed which would have a material adverse impact on our business prospects and results of operations. If we raise funds by issuing debt securities, these debt securities would have rights, preferences, and privileges senior to those of holders of our common stock. The terms of debt securities or other borrowings could impose significant restrictions on our operations. If we raise funds by issuing equity</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securities, dilution to stockholders may result. Any equity securities issued may also provide for rights, preferences, or privileges senior to those of holders of our common stock.</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decided to develop our planned G2_Austin solar cell manufacturing facility in two phases. Each phase is a standalone development with limited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shared infrastructure. We believe we are positioned to flex capacity to develop up to three phases potentially totaling as many as 8 gigawatts on our existing leasehold. Following the initial completion of detailed project engineering, the first phase of G2_Austin is expected to total 2.1 gigawatts of annual production capacity with an estimated capital expenditure of $400 to $425 million.</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planned capital expenditures are based on management’s current estimates and may be subject to change. There can be no assurance that we will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execute our capital expenditure plans as currently estimated, without addition, reduction, or modification. We may also from time to time reduce or increase planned spending on specific capital projects and/or adjust the timing of planned capital expenditures due to factors both within and outside of our control, including the availability of financing. As a result, actual capital expenditures in future years may differ materially from the amounts discussed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Summary</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23"/>
        </w:trPr>
        <w:tc>
          <w:tcPr>
            <w:tcW w:w="68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 (in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8"/>
        </w:trPr>
        <w:tc>
          <w:tcPr>
            <w:tcW w:w="6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gridSpan w:val="4"/>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7"/>
        </w:trPr>
        <w:tc>
          <w:tcPr>
            <w:tcW w:w="64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2026 vs 2025</w:t>
            </w:r>
          </w:p>
        </w:tc>
      </w:tr>
      <w:tr>
        <w:trPr>
          <w:trHeight w:val="225"/>
        </w:trPr>
        <w:tc>
          <w:tcPr>
            <w:tcW w:w="64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1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(72,874)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(60,724)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20"/>
        </w:trPr>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cash used in operating activities increased by $28.1 million in the first quarter of 2026 compared to the first quarter of 2025. The increase was</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primarily driven by increases in working capital that resulted in more cash used in the first quarter of 2026 as compared to the first quarter of 2025 related to changes in operating assets and liabilities of $46.7 million, partially offset by a decrease in net loss excluding non-cash expenses, gains and losses of $18.6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Net cash used in investing activities increased by $82.8 million in the first quarter of 2026 compared to the first quarter of 2025. The increase in cash used in investing activities was primarily driven by proceeds from the sale of property and equipment of $50.0 million in the first quarter of 2025 relating to our</w:t>
      </w:r>
    </w:p>
    <w:p>
      <w:pPr>
        <w:jc w:val="both"/>
        <w:spacing w:after="0" w:line="221" w:lineRule="auto"/>
        <w:rPr>
          <w:sz w:val="20"/>
          <w:szCs w:val="20"/>
          <w:color w:val="auto"/>
        </w:rPr>
      </w:pPr>
      <w:r>
        <w:rPr>
          <w:rFonts w:ascii="Times New Roman" w:cs="Times New Roman" w:eastAsia="Times New Roman" w:hAnsi="Times New Roman"/>
          <w:sz w:val="17"/>
          <w:szCs w:val="17"/>
          <w:color w:val="auto"/>
        </w:rPr>
        <w:t>land in Coweta County, Georgia with no comparable amounts for the same period in 2026, increased purchases of property and equipment of $31.6 million in the first quarter of 2026, and a decrease of $1.2 million related to proceeds from the return of property and equipment deposits in the first quarter of 2025 with no comparable amounts in the first quarter of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Net cash used in financing activities increased by $9.8 million in the first quarter of 2026 compared to the first quarter of 2025. The increase in cash used in financing activities was primarily due to a $13.6 million repayment of our Senior Secured Facility, partially offset by $3.8 million in debt issuance costs paid in</w:t>
      </w:r>
    </w:p>
    <w:p>
      <w:pPr>
        <w:spacing w:after="0"/>
        <w:rPr>
          <w:sz w:val="20"/>
          <w:szCs w:val="20"/>
          <w:color w:val="auto"/>
        </w:rPr>
      </w:pPr>
      <w:r>
        <w:rPr>
          <w:rFonts w:ascii="Times New Roman" w:cs="Times New Roman" w:eastAsia="Times New Roman" w:hAnsi="Times New Roman"/>
          <w:sz w:val="17"/>
          <w:szCs w:val="17"/>
          <w:color w:val="auto"/>
        </w:rPr>
        <w:t>the first quarter of 2025 with no comparable amounts for the same period in 2026.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Our critical accounting estimates are consistent with those described under the heading “Management’s Discussion and Analysis of Financial Condition and Results” in our Annual Report on Form 10-K for the year ended December 31, 2025 filed with the SEC on March 31, 2026. There have been no material</w:t>
      </w:r>
    </w:p>
    <w:p>
      <w:pPr>
        <w:spacing w:after="0"/>
        <w:rPr>
          <w:sz w:val="20"/>
          <w:szCs w:val="20"/>
          <w:color w:val="auto"/>
        </w:rPr>
      </w:pPr>
      <w:r>
        <w:rPr>
          <w:rFonts w:ascii="Times New Roman" w:cs="Times New Roman" w:eastAsia="Times New Roman" w:hAnsi="Times New Roman"/>
          <w:sz w:val="17"/>
          <w:szCs w:val="17"/>
          <w:color w:val="auto"/>
        </w:rPr>
        <w:t>changes to our critical accounting estimates during the three months ended March 31,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“smaller reporting company” we are not required to disclose information under this Item.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Disclosure controls and procedures are controls and other procedures designed to ensure that information required to be disclosed by us is recorded,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processed, summarized, and reported within the time periods specified in the SEC rules and forms and accumulated and communicated to management, including our Chief Executive Officer and Chief Financial Officer, as appropriate to allow timely decisions regarding required disclosure. The Company’s management carried out an evaluation, under the supervision and with the participation of our Chief Executive Officer and Chief Financial Officer, of the effectiveness of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design and operation of our disclosure controls and procedures (as such term is defined in Rules 13a-15(e) and 15d-15(e) under the Securities Exchange Act of 1934, as amended (the “Exchange Act”)) as of March 31, 2026. Based upon that evaluation, our Chief Executive Officer and Chief Financial Officer concluded that our disclosure controls and procedures were not effective as of March 31, 2026 due to the material weakness described below.</w:t>
      </w:r>
    </w:p>
    <w:p>
      <w:pPr>
        <w:spacing w:after="0" w:line="11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light of this material weakness, management performed additional analysis and other procedures to help ensure that our consolidated financial statements were prepared in accordance with U.S. generally accepted accounting principles (“U.S. GAAP”). Accordingly, management believes that the consolidated financial statements included in this Quarterly Report on Form 10-Q fairly present, in all material respects, our financial position,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and cash flows as of and for the periods presented, in accordance with U.S.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Weakness</w:t>
      </w:r>
    </w:p>
    <w:p>
      <w:pPr>
        <w:spacing w:after="0" w:line="132" w:lineRule="exact"/>
        <w:rPr>
          <w:sz w:val="20"/>
          <w:szCs w:val="20"/>
          <w:color w:val="auto"/>
        </w:rPr>
      </w:pPr>
    </w:p>
    <w:p>
      <w:pPr>
        <w:ind w:right="300" w:firstLine="620"/>
        <w:spacing w:after="0"/>
        <w:rPr>
          <w:sz w:val="20"/>
          <w:szCs w:val="20"/>
          <w:color w:val="auto"/>
        </w:rPr>
      </w:pPr>
      <w:r>
        <w:rPr>
          <w:rFonts w:ascii="Times New Roman" w:cs="Times New Roman" w:eastAsia="Times New Roman" w:hAnsi="Times New Roman"/>
          <w:sz w:val="17"/>
          <w:szCs w:val="17"/>
          <w:color w:val="auto"/>
        </w:rPr>
        <w:t>As previously disclosed in the Company’s Annual Report on Form 10-K for the year ended December 31, 2025, management identified the following material weakness related to the Company’s G1 entity:</w:t>
      </w:r>
    </w:p>
    <w:p>
      <w:pPr>
        <w:spacing w:after="0" w:line="139" w:lineRule="exact"/>
        <w:rPr>
          <w:sz w:val="20"/>
          <w:szCs w:val="20"/>
          <w:color w:val="auto"/>
        </w:rPr>
      </w:pPr>
    </w:p>
    <w:p>
      <w:pPr>
        <w:jc w:val="both"/>
        <w:ind w:left="620" w:hanging="307"/>
        <w:spacing w:after="0" w:line="217"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had ineffective general information technology controls that support the consistent operation of the Company’s Oracle-based information technology (“IT”) system. Therefore, automated process-level controls and manual controls dependent upon the accuracy and completeness of information derived from that IT system were also ineffective because they could have been adversely impacted.</w:t>
      </w:r>
    </w:p>
    <w:p>
      <w:pPr>
        <w:spacing w:after="0" w:line="107" w:lineRule="exact"/>
        <w:rPr>
          <w:rFonts w:ascii="Arial" w:cs="Arial" w:eastAsia="Arial" w:hAnsi="Arial"/>
          <w:sz w:val="21"/>
          <w:szCs w:val="21"/>
          <w:color w:val="auto"/>
        </w:rPr>
      </w:pPr>
    </w:p>
    <w:p>
      <w:pPr>
        <w:ind w:left="600" w:hanging="287"/>
        <w:spacing w:after="0"/>
        <w:tabs>
          <w:tab w:leader="none" w:pos="60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did not effectively design, implement or operate process-level controls regarding revenue and inventory processes.</w:t>
      </w:r>
    </w:p>
    <w:p>
      <w:pPr>
        <w:spacing w:after="0" w:line="112"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Management concluded that the material weakness was primarily attributable to deficiencies in oversight, resources, information and communication, and monitoring activities, as previously disclosed.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Remediation Plan</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 has continued to execute its remediation plan during the first quarter of 2026. Remediation efforts during the quarter have primarily focused</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on establishing elements of the Company’s control environment, including governance, training, and financial close processes. Actions completed or initiated during the quarter include the following:</w:t>
      </w:r>
    </w:p>
    <w:p>
      <w:pPr>
        <w:spacing w:after="0" w:line="126" w:lineRule="exact"/>
        <w:rPr>
          <w:sz w:val="20"/>
          <w:szCs w:val="20"/>
          <w:color w:val="auto"/>
        </w:rPr>
      </w:pPr>
    </w:p>
    <w:p>
      <w:pPr>
        <w:jc w:val="both"/>
        <w:ind w:left="620" w:hanging="307"/>
        <w:spacing w:after="0" w:line="222" w:lineRule="auto"/>
        <w:tabs>
          <w:tab w:leader="none" w:pos="615"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Management implemented a centralized close management platform to integrate corporate and G1 month-end and quarter-end financial close tasks. This platform was utilized during the first quarter close and is intended to support the assignment of responsibilities, identification of task dependencies, and monitoring of financial close activities.</w:t>
      </w:r>
    </w:p>
    <w:p>
      <w:pPr>
        <w:spacing w:after="0" w:line="125" w:lineRule="exact"/>
        <w:rPr>
          <w:rFonts w:ascii="Arial" w:cs="Arial" w:eastAsia="Arial" w:hAnsi="Arial"/>
          <w:sz w:val="21"/>
          <w:szCs w:val="21"/>
          <w:color w:val="auto"/>
        </w:rPr>
      </w:pPr>
    </w:p>
    <w:p>
      <w:pPr>
        <w:jc w:val="both"/>
        <w:ind w:left="620" w:hanging="307"/>
        <w:spacing w:after="0" w:line="217" w:lineRule="auto"/>
        <w:tabs>
          <w:tab w:leader="none" w:pos="589"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Management, with the assistance of third-party advisors, developed a training for control owners and key personnel related to SOX compliance requirements, control documentation expectations, and control execution responsibilities. Training is expected to be rolled out to all applicable control owners during the second quarter.</w:t>
      </w:r>
    </w:p>
    <w:p>
      <w:pPr>
        <w:spacing w:after="0" w:line="138" w:lineRule="exact"/>
        <w:rPr>
          <w:rFonts w:ascii="Arial" w:cs="Arial" w:eastAsia="Arial" w:hAnsi="Arial"/>
          <w:sz w:val="21"/>
          <w:szCs w:val="21"/>
          <w:color w:val="auto"/>
        </w:rPr>
      </w:pPr>
    </w:p>
    <w:p>
      <w:pPr>
        <w:jc w:val="both"/>
        <w:ind w:left="620" w:hanging="307"/>
        <w:spacing w:after="0" w:line="217" w:lineRule="auto"/>
        <w:tabs>
          <w:tab w:leader="none" w:pos="589"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Management developed a formal control self-certification process designed to be performed on a recurring basis, whereby control owners certify that controls, as designed, are in place and have been performed, or are expected to be performed, in accordance with applicable requirements. This process has been established and was executed in connection with the preparation of this Quarterly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9" w:name="page30"/>
    <w:bookmarkEnd w:id="29"/>
    <w:p>
      <w:pPr>
        <w:ind w:left="620" w:hanging="307"/>
        <w:spacing w:after="0" w:line="222" w:lineRule="auto"/>
        <w:tabs>
          <w:tab w:leader="none" w:pos="589"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Management established procedures for reporting to executive leadership and the Audit Committee on a recurring basis regarding the effectiveness of internal controls and the status of remediation efforts.</w:t>
      </w:r>
    </w:p>
    <w:p>
      <w:pPr>
        <w:spacing w:after="0" w:line="10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Remediation efforts related to general information technology controls within the Company’s Oracle-based IT system and process-level controls over revenue and inventory remain ongoing. Certain elements of controls have been designed and, in some cases, implemented; however, these controls have not</w:t>
      </w:r>
    </w:p>
    <w:p>
      <w:pPr>
        <w:spacing w:after="0"/>
        <w:rPr>
          <w:sz w:val="20"/>
          <w:szCs w:val="20"/>
          <w:color w:val="auto"/>
        </w:rPr>
      </w:pPr>
      <w:r>
        <w:rPr>
          <w:rFonts w:ascii="Times New Roman" w:cs="Times New Roman" w:eastAsia="Times New Roman" w:hAnsi="Times New Roman"/>
          <w:sz w:val="17"/>
          <w:szCs w:val="17"/>
          <w:color w:val="auto"/>
        </w:rPr>
        <w:t>operated for a sufficient period of time to allow management to complete operating effectiveness testing.</w:t>
      </w:r>
    </w:p>
    <w:p>
      <w:pPr>
        <w:spacing w:after="0" w:line="122"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Accordingly, management has not yet concluded that the material weakness has been remediated. Management expects remediation efforts to continue throughout fiscal year 2026 and will evaluate the effectiveness of the remediated controls once they have been implemented and have operated for a sufficient period of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44" w:lineRule="exact"/>
        <w:rPr>
          <w:sz w:val="20"/>
          <w:szCs w:val="20"/>
          <w:color w:val="auto"/>
        </w:rPr>
      </w:pPr>
    </w:p>
    <w:p>
      <w:pPr>
        <w:jc w:val="both"/>
        <w:ind w:firstLine="543"/>
        <w:spacing w:after="0" w:line="288" w:lineRule="auto"/>
        <w:rPr>
          <w:sz w:val="20"/>
          <w:szCs w:val="20"/>
          <w:color w:val="auto"/>
        </w:rPr>
      </w:pPr>
      <w:r>
        <w:rPr>
          <w:rFonts w:ascii="Times New Roman" w:cs="Times New Roman" w:eastAsia="Times New Roman" w:hAnsi="Times New Roman"/>
          <w:sz w:val="17"/>
          <w:szCs w:val="17"/>
          <w:color w:val="auto"/>
        </w:rPr>
        <w:t>Except as described above, no changes in our internal control over financial reporting occurred during the three months ended March 31, 2026 that have materially affected, or are reasonably likely to materially affect, our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44"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From time to time, we may be involved in litigation relating to claims arising in the ordinary course of our business. To the knowledge of our management, there are no material litigation, claims, or actions currently pending or threatened against us, any of our officers, or directors in their capacity as such, or against any of our property, except as described below.</w:t>
      </w:r>
    </w:p>
    <w:p>
      <w:pPr>
        <w:spacing w:after="0" w:line="11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On June 5, 2025, July 1, 2025 and July 31, 2025, we received notices from U.S. Customs and Border Protection (“CBP”) relating to potential customs duties on goods imported in 2024 by one of the entities we acquired in the Trina Business Combination (the “Notices”). We have engaged with CBP on these Notices and explained why we believe they were without legal or factual merit. In March and April 2026, we received bills from CBP for alleged duties on goods</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imported in 2024 by the same entity acquired in the Trina Business Combination. It is unclear what, if any, connection these bills have with the Notices previously received. At this point, the bills received total approximately $31.7 million. The Company is engaging with CBP, through outside counsel, to correct what it believes is the erroneous application of duties, but it is not possible at this time to predict the duration, outcome, or impact of these matters, which the Company maintains would ultimately be subject to indemnification pursuant to the Trina Business Combination.</w:t>
      </w:r>
    </w:p>
    <w:p>
      <w:pPr>
        <w:spacing w:after="0" w:line="11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In April 2026, CBP launched a program allowing importers to submit claims for refunds of tariffs imposed under the International Emergency Economic Powers Act (“IEEPA”). Two months before the launch of this program, the U.S. Supreme Court declared these tariffs invalid. The Company has incurred IEEPA tariffs and has submitted claims for refunds of $33.5 million, but as of the date of this Report has not recognized any financial impact related to potential tariff</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refunds. While a favorable resolution of these claims could positively impact results of operations in future periods, the timing and ultimate realization of these refunds remain subject to significant uncertainty.</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November 2025, the Company and a Company executive and Board member (the “Individual”) received grand jury subpoenas from the DOJ, which</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request the production of documents relating to the sale of the Company’s stock in the second half of 2023 on the account of the Individual, who was a director of the Company at that time. Shortly thereafter, the Company received a voluntary document request from the SEC seeking similar information. The Company believes that the relevant trades relate to stock that the Individual pledged as collateral against a personal loan, which was approved in accordance with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Company’s insider trading policy. The Company is cooperating with both the DOJ and SEC, and it is not possible at this time to predict the duration, outcome or impact of such matters.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RWE Investco EPC MGMT, LLC filed an action, dated December 19, 2025 and served January 7, 2026, against a subsidiary of the Company and TUS, in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Superior Court of the State of California for the County of San Francisco (the “Lawsuit”) alleging breach of contract claims relating to a long-term offtake agreement. We contest the allegations and intend to vigorously defend against the Lawsuit and pursue all legal remedies available to the Company, including but not limited to a Cross-Complaint filed in January 2026 asserting claims against RWE Investco EPC MGMT, LLC and seeking damages, and a complaint filed in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March 2026 against RWE Aktiengesellschaft in the Supreme Court of the State of New York for the County of New York, seeking to enforce their unconditional guaranty of RWE Investco EPC MGMT, LLC’s payment obligations under the long-term offtake agreement for up to $100 million.</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First Solar, Inc. initiated patent infringement proceedings in early 2026 against numerous companies in the solar industry, including a district court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proceeding against T1 Energy Inc. and T1 G1 Dallas Midco Inc., alleging that such companies are and have been willfully infringing U.S. Patent No. 9,130,074 (the “’074 Patent”) by, among other actions, importing certain solar cells. Separately, also in early 2026, the International Trade Commission published a Notice of Receipt of Complaint filed by First Solar, Inc. alleging that multiple proposed respondents, including T1 Energy Inc. and T1 G1 Dallas Solar Module LLC, are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knowingly and intentionally infringing the ’074 Patent by, among other actions, importing certain solar cells. In that proceeding, First Solar, Inc. has requested that the International Trade Commission issue a general exclusion order prohibiting the importation of products that infringe the ’074 Patent, which First Solar, Inc. alleges includes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0" w:name="page31"/>
    <w:bookmarkEnd w:id="30"/>
    <w:p>
      <w:pPr>
        <w:jc w:val="both"/>
        <w:spacing w:after="0"/>
        <w:rPr>
          <w:sz w:val="20"/>
          <w:szCs w:val="20"/>
          <w:color w:val="auto"/>
        </w:rPr>
      </w:pPr>
      <w:r>
        <w:rPr>
          <w:rFonts w:ascii="Times New Roman" w:cs="Times New Roman" w:eastAsia="Times New Roman" w:hAnsi="Times New Roman"/>
          <w:sz w:val="17"/>
          <w:szCs w:val="17"/>
          <w:color w:val="auto"/>
        </w:rPr>
        <w:t>TOPCon solar cells, as well as cease-and-desist orders to all respondents with respect to the importation, sale, marketing, or distribution of such products. We contest the allegations by First Solar, Inc. and will vigorously defend against them and pursue all legal remedies available to the Company.</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taking into consideration our indemnities, defenses, insurance and reserves, the ultimate resolution of these matters will not have a material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impact on our financial position, results of operations or cash flows. However, the ultimate outcome of these matters cannot be determined at this time, and we cannot guarantee that we will be successful in contesting these matters, or that we will not need to accrue or pay additional amounts in the future, which could be material.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3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factors discussed in Item 1A. “Risk Factors” of our Annual Report on Form 10-K for the year ended December 31, 2025 filed with the SEC on March 31, 2026, as amended and supplemented by Amendment No.1 on Form</w:t>
      </w:r>
    </w:p>
    <w:p>
      <w:pPr>
        <w:jc w:val="both"/>
        <w:spacing w:after="0" w:line="211" w:lineRule="auto"/>
        <w:rPr>
          <w:sz w:val="20"/>
          <w:szCs w:val="20"/>
          <w:color w:val="auto"/>
        </w:rPr>
      </w:pPr>
      <w:r>
        <w:rPr>
          <w:rFonts w:ascii="Times New Roman" w:cs="Times New Roman" w:eastAsia="Times New Roman" w:hAnsi="Times New Roman"/>
          <w:sz w:val="17"/>
          <w:szCs w:val="17"/>
          <w:color w:val="auto"/>
        </w:rPr>
        <w:t>10-K/A filed with the SEC on April 30, 2026, which could materially affect our business, financial condition, results of operations, and cash flows. The risks described in our Annual Report on Form 10-K are not the only risks we face. Additional risks and uncertainties not currently known to us or that we currently consider immaterial may also materially adversely affect our business, financial condition, results of operations, and cash flows. There have been no material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risk factors contained in our Annual Report on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Unregistered Securities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Plans</w:t>
      </w:r>
    </w:p>
    <w:p>
      <w:pPr>
        <w:spacing w:after="0" w:line="14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None of the Company’s directors or officers adopted, modified or terminated a Rule 10b5-1 trading arrangement or a non-Rule 10b5-1 trading arrangement during the three months ended March 31, 2026,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32" w:lineRule="exact"/>
        <w:rPr>
          <w:sz w:val="20"/>
          <w:szCs w:val="20"/>
          <w:color w:val="auto"/>
        </w:rPr>
      </w:pPr>
    </w:p>
    <w:p>
      <w:pPr>
        <w:ind w:right="640" w:firstLine="620"/>
        <w:spacing w:after="0"/>
        <w:rPr>
          <w:sz w:val="20"/>
          <w:szCs w:val="20"/>
          <w:color w:val="auto"/>
        </w:rPr>
      </w:pPr>
      <w:r>
        <w:rPr>
          <w:rFonts w:ascii="Times New Roman" w:cs="Times New Roman" w:eastAsia="Times New Roman" w:hAnsi="Times New Roman"/>
          <w:sz w:val="17"/>
          <w:szCs w:val="17"/>
          <w:color w:val="auto"/>
        </w:rPr>
        <w:t>The documents listed below are incorporated by reference or are filed with this Quarterly Report on Form 10-Q, in each case as indicated therein (numbered in accordance with Item 601 of Regulation S-K).</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44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440" w:type="dxa"/>
            <w:vAlign w:val="bottom"/>
            <w:gridSpan w:val="1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0" w:type="dxa"/>
            <w:vAlign w:val="bottom"/>
            <w:gridSpan w:val="3"/>
            <w:shd w:val="clear" w:color="auto" w:fill="CCEEFF"/>
          </w:tcPr>
          <w:p>
            <w:pPr>
              <w:ind w:left="20"/>
              <w:spacing w:after="0" w:line="181"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500" w:type="dxa"/>
            <w:vAlign w:val="bottom"/>
            <w:shd w:val="clear" w:color="auto" w:fill="CCEEFF"/>
          </w:tcPr>
          <w:p>
            <w:pPr>
              <w:spacing w:after="0"/>
              <w:rPr>
                <w:sz w:val="15"/>
                <w:szCs w:val="15"/>
                <w:color w:val="auto"/>
              </w:rPr>
            </w:pPr>
          </w:p>
        </w:tc>
        <w:tc>
          <w:tcPr>
            <w:tcW w:w="10440" w:type="dxa"/>
            <w:vAlign w:val="bottom"/>
            <w:gridSpan w:val="14"/>
            <w:shd w:val="clear" w:color="auto" w:fill="CCEEFF"/>
          </w:tcPr>
          <w:p>
            <w:pPr>
              <w:ind w:left="280"/>
              <w:spacing w:after="0" w:line="181"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Second Supplemental Indenture, dated as of April 17, 2026, between T1 Energy Inc. and U.S. Bank Trust Company, National Association, as</w:t>
              </w:r>
            </w:hyperlink>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trustee. (incorporated by reference to Exhibit 4.2 to the Current Report on Form 8-K filed with the SEC on April 17, 2026).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2980" w:type="dxa"/>
            <w:vAlign w:val="bottom"/>
            <w:tcBorders>
              <w:top w:val="single" w:sz="8" w:color="0000FF"/>
            </w:tcBorders>
            <w:shd w:val="clear" w:color="auto" w:fill="CCEEFF"/>
          </w:tcPr>
          <w:p>
            <w:pPr>
              <w:spacing w:after="0"/>
              <w:rPr>
                <w:sz w:val="16"/>
                <w:szCs w:val="16"/>
                <w:color w:val="auto"/>
              </w:rPr>
            </w:pPr>
          </w:p>
        </w:tc>
        <w:tc>
          <w:tcPr>
            <w:tcW w:w="760" w:type="dxa"/>
            <w:vAlign w:val="bottom"/>
            <w:tcBorders>
              <w:top w:val="single" w:sz="8" w:color="0000FF"/>
            </w:tcBorders>
            <w:shd w:val="clear" w:color="auto" w:fill="CCEEFF"/>
          </w:tcPr>
          <w:p>
            <w:pPr>
              <w:spacing w:after="0"/>
              <w:rPr>
                <w:sz w:val="16"/>
                <w:szCs w:val="16"/>
                <w:color w:val="auto"/>
              </w:rPr>
            </w:pPr>
          </w:p>
        </w:tc>
        <w:tc>
          <w:tcPr>
            <w:tcW w:w="186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240" w:type="dxa"/>
            <w:vAlign w:val="bottom"/>
            <w:tcBorders>
              <w:top w:val="single" w:sz="8" w:color="0000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gridSpan w:val="3"/>
          </w:tcPr>
          <w:p>
            <w:pPr>
              <w:ind w:left="20"/>
              <w:spacing w:after="0" w:line="181"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hyperlink>
          </w:p>
        </w:tc>
        <w:tc>
          <w:tcPr>
            <w:tcW w:w="500" w:type="dxa"/>
            <w:vAlign w:val="bottom"/>
          </w:tcPr>
          <w:p>
            <w:pPr>
              <w:spacing w:after="0"/>
              <w:rPr>
                <w:sz w:val="17"/>
                <w:szCs w:val="17"/>
                <w:color w:val="auto"/>
              </w:rPr>
            </w:pPr>
          </w:p>
        </w:tc>
        <w:tc>
          <w:tcPr>
            <w:tcW w:w="10440" w:type="dxa"/>
            <w:vAlign w:val="bottom"/>
            <w:gridSpan w:val="14"/>
          </w:tcPr>
          <w:p>
            <w:pPr>
              <w:ind w:left="280"/>
              <w:spacing w:after="0" w:line="181"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Form of 4.00% Convertible Senior Note due 2031 (included in Exhibit 4.2 and incorporated by reference to Exhibit 4.3 to the Current Report on</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120" w:type="dxa"/>
            <w:vAlign w:val="bottom"/>
            <w:tcBorders>
              <w:top w:val="single" w:sz="8" w:color="0000FF"/>
            </w:tcBorders>
            <w:gridSpan w:val="11"/>
          </w:tcPr>
          <w:p>
            <w:pPr>
              <w:spacing w:after="0" w:line="128" w:lineRule="exact"/>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Form 8-K filed with the SEC on April 17, 2026).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9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0" w:type="dxa"/>
            <w:vAlign w:val="bottom"/>
            <w:gridSpan w:val="4"/>
            <w:shd w:val="clear" w:color="auto" w:fill="CCEEFF"/>
          </w:tcPr>
          <w:p>
            <w:pPr>
              <w:ind w:left="20"/>
              <w:spacing w:after="0" w:line="181"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10440" w:type="dxa"/>
            <w:vAlign w:val="bottom"/>
            <w:gridSpan w:val="14"/>
            <w:shd w:val="clear" w:color="auto" w:fill="CCEEFF"/>
          </w:tcPr>
          <w:p>
            <w:pPr>
              <w:ind w:left="280"/>
              <w:spacing w:after="0" w:line="181"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Separation and Release Agreement between FREYR Battery Norway AS and Einar Kilde, dated April 22, 2026 (incorporated by reference to</w:t>
              </w:r>
            </w:hyperlink>
          </w:p>
        </w:tc>
        <w:tc>
          <w:tcPr>
            <w:tcW w:w="0" w:type="dxa"/>
            <w:vAlign w:val="bottom"/>
          </w:tcPr>
          <w:p>
            <w:pPr>
              <w:spacing w:after="0"/>
              <w:rPr>
                <w:sz w:val="1"/>
                <w:szCs w:val="1"/>
                <w:color w:val="auto"/>
              </w:rPr>
            </w:pP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140" w:type="dxa"/>
            <w:vAlign w:val="bottom"/>
            <w:tcBorders>
              <w:top w:val="single" w:sz="8" w:color="0000FF"/>
            </w:tcBorders>
            <w:gridSpan w:val="12"/>
            <w:shd w:val="clear" w:color="auto" w:fill="CCEEFF"/>
          </w:tcPr>
          <w:p>
            <w:pPr>
              <w:spacing w:after="0" w:line="128" w:lineRule="exact"/>
              <w:rPr>
                <w:rFonts w:ascii="Times New Roman" w:cs="Times New Roman" w:eastAsia="Times New Roman" w:hAnsi="Times New Roman"/>
                <w:sz w:val="14"/>
                <w:szCs w:val="14"/>
                <w:color w:val="0000FF"/>
              </w:rPr>
            </w:pPr>
            <w:hyperlink r:id="rId48">
              <w:r>
                <w:rPr>
                  <w:rFonts w:ascii="Times New Roman" w:cs="Times New Roman" w:eastAsia="Times New Roman" w:hAnsi="Times New Roman"/>
                  <w:sz w:val="14"/>
                  <w:szCs w:val="14"/>
                  <w:color w:val="0000FF"/>
                </w:rPr>
                <w:t>Exhibit 10.1 to the Current Report on Form 8-K filed with the SEC on April 27, 2026).</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2980" w:type="dxa"/>
            <w:vAlign w:val="bottom"/>
            <w:tcBorders>
              <w:top w:val="single" w:sz="8" w:color="0000FF"/>
            </w:tcBorders>
            <w:shd w:val="clear" w:color="auto" w:fill="CCEEFF"/>
          </w:tcPr>
          <w:p>
            <w:pPr>
              <w:spacing w:after="0"/>
              <w:rPr>
                <w:sz w:val="16"/>
                <w:szCs w:val="16"/>
                <w:color w:val="auto"/>
              </w:rPr>
            </w:pPr>
          </w:p>
        </w:tc>
        <w:tc>
          <w:tcPr>
            <w:tcW w:w="760" w:type="dxa"/>
            <w:vAlign w:val="bottom"/>
            <w:tcBorders>
              <w:top w:val="single" w:sz="8" w:color="0000FF"/>
            </w:tcBorders>
            <w:shd w:val="clear" w:color="auto" w:fill="CCEEFF"/>
          </w:tcPr>
          <w:p>
            <w:pPr>
              <w:spacing w:after="0"/>
              <w:rPr>
                <w:sz w:val="16"/>
                <w:szCs w:val="16"/>
                <w:color w:val="auto"/>
              </w:rPr>
            </w:pPr>
          </w:p>
        </w:tc>
        <w:tc>
          <w:tcPr>
            <w:tcW w:w="186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0" w:type="dxa"/>
            <w:vAlign w:val="bottom"/>
            <w:gridSpan w:val="4"/>
          </w:tcPr>
          <w:p>
            <w:pPr>
              <w:ind w:left="20"/>
              <w:spacing w:after="0" w:line="181"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10440" w:type="dxa"/>
            <w:vAlign w:val="bottom"/>
            <w:gridSpan w:val="14"/>
          </w:tcPr>
          <w:p>
            <w:pPr>
              <w:ind w:left="280"/>
              <w:spacing w:after="0" w:line="181"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Amendment No. 3 to Consultancy Agreement between T1 Energy Inc. and Peter Matrai, dated February 11, 2026 (incorporated by Reference to</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80" w:type="dxa"/>
            <w:vAlign w:val="bottom"/>
            <w:tcBorders>
              <w:top w:val="single" w:sz="8" w:color="0000FF"/>
            </w:tcBorders>
            <w:gridSpan w:val="9"/>
          </w:tcPr>
          <w:p>
            <w:pPr>
              <w:spacing w:after="0" w:line="128" w:lineRule="exact"/>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0000FF"/>
                </w:rPr>
                <w:t>Exhibit 10.1 to the Current Report on Form 8-K filed with the SEC on February 18, 2026).</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98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18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0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10440" w:type="dxa"/>
            <w:vAlign w:val="bottom"/>
            <w:gridSpan w:val="14"/>
            <w:shd w:val="clear" w:color="auto" w:fill="CCEEFF"/>
          </w:tcPr>
          <w:p>
            <w:pPr>
              <w:ind w:left="280"/>
              <w:spacing w:after="0" w:line="181" w:lineRule="exact"/>
              <w:rPr>
                <w:sz w:val="20"/>
                <w:szCs w:val="20"/>
                <w:color w:val="auto"/>
              </w:rPr>
            </w:pPr>
            <w:r>
              <w:rPr>
                <w:rFonts w:ascii="Times New Roman" w:cs="Times New Roman" w:eastAsia="Times New Roman" w:hAnsi="Times New Roman"/>
                <w:sz w:val="17"/>
                <w:szCs w:val="17"/>
                <w:color w:val="0000FF"/>
              </w:rPr>
              <w:t>Certification of Chief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120" w:type="dxa"/>
            <w:vAlign w:val="bottom"/>
            <w:tcBorders>
              <w:top w:val="single" w:sz="8" w:color="0000FF"/>
              <w:bottom w:val="single" w:sz="8" w:color="0000FF"/>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59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10440" w:type="dxa"/>
            <w:vAlign w:val="bottom"/>
            <w:gridSpan w:val="14"/>
          </w:tcPr>
          <w:p>
            <w:pPr>
              <w:ind w:left="280"/>
              <w:spacing w:after="0" w:line="181"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100" w:type="dxa"/>
            <w:vAlign w:val="bottom"/>
            <w:tcBorders>
              <w:top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9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90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10440" w:type="dxa"/>
            <w:vAlign w:val="bottom"/>
            <w:gridSpan w:val="14"/>
            <w:shd w:val="clear" w:color="auto" w:fill="CCEEFF"/>
          </w:tcPr>
          <w:p>
            <w:pPr>
              <w:ind w:left="280"/>
              <w:spacing w:after="0" w:line="181"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tcBorders>
            <w:shd w:val="clear" w:color="auto" w:fill="CCEEFF"/>
          </w:tcPr>
          <w:p>
            <w:pPr>
              <w:spacing w:after="0"/>
              <w:rPr>
                <w:sz w:val="13"/>
                <w:szCs w:val="13"/>
                <w:color w:val="auto"/>
              </w:rPr>
            </w:pPr>
          </w:p>
        </w:tc>
        <w:tc>
          <w:tcPr>
            <w:tcW w:w="160" w:type="dxa"/>
            <w:vAlign w:val="bottom"/>
            <w:tcBorders>
              <w:top w:val="single" w:sz="8" w:color="0000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0000FF"/>
              <w:bottom w:val="single" w:sz="8" w:color="0000FF"/>
            </w:tcBorders>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0000FF"/>
              </w:rPr>
              <w:t>2002.</w:t>
            </w:r>
          </w:p>
        </w:tc>
        <w:tc>
          <w:tcPr>
            <w:tcW w:w="2980" w:type="dxa"/>
            <w:vAlign w:val="bottom"/>
            <w:tcBorders>
              <w:top w:val="single" w:sz="8" w:color="0000FF"/>
              <w:bottom w:val="single" w:sz="8" w:color="CCEEFF"/>
            </w:tcBorders>
            <w:shd w:val="clear" w:color="auto" w:fill="CCEEFF"/>
          </w:tcPr>
          <w:p>
            <w:pPr>
              <w:spacing w:after="0"/>
              <w:rPr>
                <w:sz w:val="13"/>
                <w:szCs w:val="13"/>
                <w:color w:val="auto"/>
              </w:rPr>
            </w:pPr>
          </w:p>
        </w:tc>
        <w:tc>
          <w:tcPr>
            <w:tcW w:w="760" w:type="dxa"/>
            <w:vAlign w:val="bottom"/>
            <w:tcBorders>
              <w:top w:val="single" w:sz="8" w:color="0000FF"/>
              <w:bottom w:val="single" w:sz="8" w:color="CCEEFF"/>
            </w:tcBorders>
            <w:shd w:val="clear" w:color="auto" w:fill="CCEEFF"/>
          </w:tcPr>
          <w:p>
            <w:pPr>
              <w:spacing w:after="0"/>
              <w:rPr>
                <w:sz w:val="13"/>
                <w:szCs w:val="13"/>
                <w:color w:val="auto"/>
              </w:rPr>
            </w:pPr>
          </w:p>
        </w:tc>
        <w:tc>
          <w:tcPr>
            <w:tcW w:w="1860" w:type="dxa"/>
            <w:vAlign w:val="bottom"/>
            <w:tcBorders>
              <w:top w:val="single" w:sz="8" w:color="0000FF"/>
              <w:bottom w:val="single" w:sz="8" w:color="CCEEFF"/>
            </w:tcBorders>
            <w:shd w:val="clear" w:color="auto" w:fill="CCEEFF"/>
          </w:tcPr>
          <w:p>
            <w:pPr>
              <w:spacing w:after="0"/>
              <w:rPr>
                <w:sz w:val="13"/>
                <w:szCs w:val="13"/>
                <w:color w:val="auto"/>
              </w:rPr>
            </w:pPr>
          </w:p>
        </w:tc>
        <w:tc>
          <w:tcPr>
            <w:tcW w:w="260" w:type="dxa"/>
            <w:vAlign w:val="bottom"/>
            <w:tcBorders>
              <w:top w:val="single" w:sz="8" w:color="0000FF"/>
              <w:bottom w:val="single" w:sz="8" w:color="CCEEFF"/>
            </w:tcBorders>
            <w:shd w:val="clear" w:color="auto" w:fill="CCEEFF"/>
          </w:tcPr>
          <w:p>
            <w:pPr>
              <w:spacing w:after="0"/>
              <w:rPr>
                <w:sz w:val="13"/>
                <w:szCs w:val="13"/>
                <w:color w:val="auto"/>
              </w:rPr>
            </w:pPr>
          </w:p>
        </w:tc>
        <w:tc>
          <w:tcPr>
            <w:tcW w:w="2240" w:type="dxa"/>
            <w:vAlign w:val="bottom"/>
            <w:tcBorders>
              <w:top w:val="single" w:sz="8" w:color="0000FF"/>
              <w:bottom w:val="single" w:sz="8" w:color="CCEEFF"/>
            </w:tcBorders>
            <w:shd w:val="clear" w:color="auto" w:fill="CCEEFF"/>
          </w:tcPr>
          <w:p>
            <w:pPr>
              <w:spacing w:after="0"/>
              <w:rPr>
                <w:sz w:val="13"/>
                <w:szCs w:val="13"/>
                <w:color w:val="auto"/>
              </w:rPr>
            </w:pPr>
          </w:p>
        </w:tc>
        <w:tc>
          <w:tcPr>
            <w:tcW w:w="156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2*</w:t>
            </w:r>
          </w:p>
        </w:tc>
        <w:tc>
          <w:tcPr>
            <w:tcW w:w="10440" w:type="dxa"/>
            <w:vAlign w:val="bottom"/>
            <w:gridSpan w:val="14"/>
          </w:tcPr>
          <w:p>
            <w:pPr>
              <w:ind w:left="280"/>
              <w:spacing w:after="0" w:line="181"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Borders>
              <w:top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rPr>
              <w:t>2002.</w:t>
            </w:r>
          </w:p>
        </w:tc>
        <w:tc>
          <w:tcPr>
            <w:tcW w:w="760" w:type="dxa"/>
            <w:vAlign w:val="bottom"/>
            <w:tcBorders>
              <w:top w:val="single" w:sz="8" w:color="0000FF"/>
            </w:tcBorders>
          </w:tcPr>
          <w:p>
            <w:pPr>
              <w:spacing w:after="0"/>
              <w:rPr>
                <w:sz w:val="12"/>
                <w:szCs w:val="12"/>
                <w:color w:val="auto"/>
              </w:rPr>
            </w:pPr>
          </w:p>
        </w:tc>
        <w:tc>
          <w:tcPr>
            <w:tcW w:w="1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24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40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101*</w:t>
            </w:r>
          </w:p>
        </w:tc>
        <w:tc>
          <w:tcPr>
            <w:tcW w:w="500" w:type="dxa"/>
            <w:vAlign w:val="bottom"/>
            <w:shd w:val="clear" w:color="auto" w:fill="CCEEFF"/>
          </w:tcPr>
          <w:p>
            <w:pPr>
              <w:spacing w:after="0"/>
              <w:rPr>
                <w:sz w:val="14"/>
                <w:szCs w:val="14"/>
                <w:color w:val="auto"/>
              </w:rPr>
            </w:pPr>
          </w:p>
        </w:tc>
        <w:tc>
          <w:tcPr>
            <w:tcW w:w="10440" w:type="dxa"/>
            <w:vAlign w:val="bottom"/>
            <w:gridSpan w:val="14"/>
            <w:shd w:val="clear" w:color="auto" w:fill="CCEEFF"/>
          </w:tcPr>
          <w:p>
            <w:pPr>
              <w:ind w:left="280"/>
              <w:spacing w:after="0" w:line="168" w:lineRule="exact"/>
              <w:rPr>
                <w:sz w:val="20"/>
                <w:szCs w:val="20"/>
                <w:color w:val="auto"/>
              </w:rPr>
            </w:pPr>
            <w:r>
              <w:rPr>
                <w:rFonts w:ascii="Times New Roman" w:cs="Times New Roman" w:eastAsia="Times New Roman" w:hAnsi="Times New Roman"/>
                <w:sz w:val="17"/>
                <w:szCs w:val="17"/>
                <w:color w:val="auto"/>
              </w:rPr>
              <w:t>Pursuant to Rule 405 of Regulation S-T, the following financial information from the Company’s Quarterly Report on Form 10-Q for the period</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40" w:type="dxa"/>
            <w:vAlign w:val="bottom"/>
            <w:gridSpan w:val="14"/>
            <w:shd w:val="clear" w:color="auto" w:fill="CCEEFF"/>
          </w:tcPr>
          <w:p>
            <w:pPr>
              <w:ind w:left="280"/>
              <w:spacing w:after="0" w:line="177" w:lineRule="exact"/>
              <w:rPr>
                <w:sz w:val="20"/>
                <w:szCs w:val="20"/>
                <w:color w:val="auto"/>
              </w:rPr>
            </w:pPr>
            <w:r>
              <w:rPr>
                <w:rFonts w:ascii="Times New Roman" w:cs="Times New Roman" w:eastAsia="Times New Roman" w:hAnsi="Times New Roman"/>
                <w:sz w:val="17"/>
                <w:szCs w:val="17"/>
                <w:color w:val="auto"/>
              </w:rPr>
              <w:t>ended March 31, 2026, formatted in Inline XBRL interactive data files: (i) Unaudited Consolidated Balance Sheets as of March 31, 2026 and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40" w:type="dxa"/>
            <w:vAlign w:val="bottom"/>
            <w:gridSpan w:val="14"/>
            <w:shd w:val="clear" w:color="auto" w:fill="CCEEFF"/>
          </w:tcPr>
          <w:p>
            <w:pPr>
              <w:ind w:left="280"/>
              <w:spacing w:after="0" w:line="172" w:lineRule="exact"/>
              <w:rPr>
                <w:sz w:val="20"/>
                <w:szCs w:val="20"/>
                <w:color w:val="auto"/>
              </w:rPr>
            </w:pPr>
            <w:r>
              <w:rPr>
                <w:rFonts w:ascii="Times New Roman" w:cs="Times New Roman" w:eastAsia="Times New Roman" w:hAnsi="Times New Roman"/>
                <w:sz w:val="17"/>
                <w:szCs w:val="17"/>
                <w:color w:val="auto"/>
              </w:rPr>
              <w:t>December 31, 2025; (ii) Unaudited Condensed Consolidated Statements of Operations for the three months ended March 31, 2026 and 2025; (iii)</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40" w:type="dxa"/>
            <w:vAlign w:val="bottom"/>
            <w:gridSpan w:val="14"/>
            <w:shd w:val="clear" w:color="auto" w:fill="CCEEFF"/>
          </w:tcPr>
          <w:p>
            <w:pPr>
              <w:ind w:left="280"/>
              <w:spacing w:after="0" w:line="168" w:lineRule="exact"/>
              <w:rPr>
                <w:sz w:val="20"/>
                <w:szCs w:val="20"/>
                <w:color w:val="auto"/>
              </w:rPr>
            </w:pPr>
            <w:r>
              <w:rPr>
                <w:rFonts w:ascii="Times New Roman" w:cs="Times New Roman" w:eastAsia="Times New Roman" w:hAnsi="Times New Roman"/>
                <w:sz w:val="17"/>
                <w:szCs w:val="17"/>
                <w:color w:val="auto"/>
              </w:rPr>
              <w:t>Unaudited Condensed Consolidated Statements of Stockholders’ Equity for the three months ended March 31, 2026 and 2025; (iv) Unaudited</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40" w:type="dxa"/>
            <w:vAlign w:val="bottom"/>
            <w:gridSpan w:val="14"/>
            <w:shd w:val="clear" w:color="auto" w:fill="CCEEFF"/>
          </w:tcPr>
          <w:p>
            <w:pPr>
              <w:ind w:left="280"/>
              <w:spacing w:after="0" w:line="177" w:lineRule="exact"/>
              <w:rPr>
                <w:sz w:val="20"/>
                <w:szCs w:val="20"/>
                <w:color w:val="auto"/>
              </w:rPr>
            </w:pPr>
            <w:r>
              <w:rPr>
                <w:rFonts w:ascii="Times New Roman" w:cs="Times New Roman" w:eastAsia="Times New Roman" w:hAnsi="Times New Roman"/>
                <w:sz w:val="17"/>
                <w:szCs w:val="17"/>
                <w:color w:val="auto"/>
              </w:rPr>
              <w:t>Condensed Consolidated Statements of Cash Flows for the three months ended March 31, 2026 and 2025; and (v) Notes to Unaudited Condensed</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40" w:type="dxa"/>
            <w:vAlign w:val="bottom"/>
            <w:gridSpan w:val="1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0" w:type="dxa"/>
            <w:vAlign w:val="bottom"/>
          </w:tcPr>
          <w:p>
            <w:pPr>
              <w:spacing w:after="0"/>
              <w:rPr>
                <w:sz w:val="1"/>
                <w:szCs w:val="1"/>
                <w:color w:val="auto"/>
              </w:rPr>
            </w:pPr>
          </w:p>
        </w:tc>
      </w:tr>
      <w:tr>
        <w:trPr>
          <w:trHeight w:val="223"/>
        </w:trPr>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00" w:type="dxa"/>
            <w:vAlign w:val="bottom"/>
          </w:tcPr>
          <w:p>
            <w:pPr>
              <w:spacing w:after="0"/>
              <w:rPr>
                <w:sz w:val="19"/>
                <w:szCs w:val="19"/>
                <w:color w:val="auto"/>
              </w:rPr>
            </w:pPr>
          </w:p>
        </w:tc>
        <w:tc>
          <w:tcPr>
            <w:tcW w:w="10440" w:type="dxa"/>
            <w:vAlign w:val="bottom"/>
            <w:gridSpan w:val="14"/>
          </w:tcPr>
          <w:p>
            <w:pPr>
              <w:ind w:left="28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2215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215515" cy="8255"/>
                    </a:xfrm>
                    <a:prstGeom prst="rect">
                      <a:avLst/>
                    </a:prstGeom>
                    <a:noFill/>
                  </pic:spPr>
                </pic:pic>
              </a:graphicData>
            </a:graphic>
          </wp:anchor>
        </w:drawing>
      </w:r>
    </w:p>
    <w:p>
      <w:pPr>
        <w:spacing w:after="0" w:line="399" w:lineRule="exact"/>
        <w:rPr>
          <w:sz w:val="20"/>
          <w:szCs w:val="20"/>
          <w:color w:val="auto"/>
        </w:rPr>
      </w:pPr>
    </w:p>
    <w:p>
      <w:pPr>
        <w:ind w:left="960" w:hanging="896"/>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filed herewith.</w:t>
      </w:r>
    </w:p>
    <w:p>
      <w:pPr>
        <w:spacing w:after="0" w:line="28" w:lineRule="exact"/>
        <w:rPr>
          <w:sz w:val="20"/>
          <w:szCs w:val="20"/>
          <w:color w:val="auto"/>
        </w:rPr>
      </w:pPr>
    </w:p>
    <w:p>
      <w:pPr>
        <w:ind w:left="960" w:hanging="896"/>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and compensatory plan and arrangement.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2" w:name="page33"/>
    <w:bookmarkEnd w:id="32"/>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32" w:lineRule="exact"/>
        <w:rPr>
          <w:sz w:val="20"/>
          <w:szCs w:val="20"/>
          <w:color w:val="auto"/>
        </w:rPr>
      </w:pPr>
    </w:p>
    <w:p>
      <w:pPr>
        <w:ind w:firstLine="620"/>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09"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2580" w:type="dxa"/>
            <w:vAlign w:val="bottom"/>
          </w:tcPr>
          <w:p>
            <w:pPr>
              <w:spacing w:after="0"/>
              <w:rPr>
                <w:sz w:val="19"/>
                <w:szCs w:val="19"/>
                <w:color w:val="auto"/>
              </w:rPr>
            </w:pPr>
          </w:p>
        </w:tc>
        <w:tc>
          <w:tcPr>
            <w:tcW w:w="3160" w:type="dxa"/>
            <w:vAlign w:val="bottom"/>
            <w:gridSpan w:val="2"/>
          </w:tcPr>
          <w:p>
            <w:pPr>
              <w:ind w:left="1200"/>
              <w:spacing w:after="0"/>
              <w:rPr>
                <w:sz w:val="20"/>
                <w:szCs w:val="20"/>
                <w:color w:val="auto"/>
              </w:rPr>
            </w:pPr>
            <w:r>
              <w:rPr>
                <w:rFonts w:ascii="Times New Roman" w:cs="Times New Roman" w:eastAsia="Times New Roman" w:hAnsi="Times New Roman"/>
                <w:sz w:val="17"/>
                <w:szCs w:val="17"/>
                <w:b w:val="1"/>
                <w:bCs w:val="1"/>
                <w:color w:val="auto"/>
              </w:rPr>
              <w:t>T1 Energy Inc.</w:t>
            </w:r>
          </w:p>
        </w:tc>
        <w:tc>
          <w:tcPr>
            <w:tcW w:w="4680" w:type="dxa"/>
            <w:vAlign w:val="bottom"/>
          </w:tcPr>
          <w:p>
            <w:pPr>
              <w:spacing w:after="0"/>
              <w:rPr>
                <w:sz w:val="19"/>
                <w:szCs w:val="19"/>
                <w:color w:val="auto"/>
              </w:rPr>
            </w:pPr>
          </w:p>
        </w:tc>
      </w:tr>
      <w:tr>
        <w:trPr>
          <w:trHeight w:val="380"/>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Date: May 12, 2026</w:t>
            </w:r>
          </w:p>
        </w:tc>
        <w:tc>
          <w:tcPr>
            <w:tcW w:w="2420" w:type="dxa"/>
            <w:vAlign w:val="bottom"/>
          </w:tcPr>
          <w:p>
            <w:pPr>
              <w:spacing w:after="0"/>
              <w:rPr>
                <w:sz w:val="24"/>
                <w:szCs w:val="24"/>
                <w:color w:val="auto"/>
              </w:rPr>
            </w:pP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Joseph Evan Calio</w:t>
            </w:r>
          </w:p>
        </w:tc>
      </w:tr>
      <w:tr>
        <w:trPr>
          <w:trHeight w:val="216"/>
        </w:trPr>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Joseph Evan Calio</w:t>
            </w:r>
          </w:p>
        </w:tc>
      </w:tr>
      <w:tr>
        <w:trPr>
          <w:trHeight w:val="220"/>
        </w:trPr>
        <w:tc>
          <w:tcPr>
            <w:tcW w:w="2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329"/>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Date: May 12, 2026</w:t>
            </w:r>
          </w:p>
        </w:tc>
        <w:tc>
          <w:tcPr>
            <w:tcW w:w="2420" w:type="dxa"/>
            <w:vAlign w:val="bottom"/>
          </w:tcPr>
          <w:p>
            <w:pPr>
              <w:spacing w:after="0"/>
              <w:rPr>
                <w:sz w:val="24"/>
                <w:szCs w:val="24"/>
                <w:color w:val="auto"/>
              </w:rPr>
            </w:pP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Tom Mahrer</w:t>
            </w:r>
          </w:p>
        </w:tc>
      </w:tr>
      <w:tr>
        <w:trPr>
          <w:trHeight w:val="216"/>
        </w:trPr>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Tom Mahrer</w:t>
            </w:r>
          </w:p>
        </w:tc>
      </w:tr>
      <w:tr>
        <w:trPr>
          <w:trHeight w:val="220"/>
        </w:trPr>
        <w:tc>
          <w:tcPr>
            <w:tcW w:w="2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23"/>
        </w:trPr>
        <w:tc>
          <w:tcPr>
            <w:tcW w:w="2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01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jc w:val="center"/>
        <w:spacing w:after="0" w:line="206"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Barcelo, certify that:</w:t>
      </w:r>
    </w:p>
    <w:p>
      <w:pPr>
        <w:spacing w:after="0" w:line="205" w:lineRule="exact"/>
        <w:rPr>
          <w:sz w:val="20"/>
          <w:szCs w:val="20"/>
          <w:color w:val="auto"/>
        </w:rPr>
      </w:pPr>
    </w:p>
    <w:p>
      <w:pPr>
        <w:ind w:left="320" w:hanging="317"/>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T1 Energy Inc.;</w:t>
      </w:r>
    </w:p>
    <w:p>
      <w:pPr>
        <w:spacing w:after="0" w:line="205" w:lineRule="exact"/>
        <w:rPr>
          <w:rFonts w:ascii="Times New Roman" w:cs="Times New Roman" w:eastAsia="Times New Roman" w:hAnsi="Times New Roman"/>
          <w:sz w:val="17"/>
          <w:szCs w:val="17"/>
          <w:color w:val="auto"/>
        </w:rPr>
      </w:pPr>
    </w:p>
    <w:p>
      <w:pPr>
        <w:ind w:left="320" w:hanging="317"/>
        <w:spacing w:after="0" w:line="256"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7"/>
          <w:szCs w:val="17"/>
          <w:color w:val="auto"/>
        </w:rPr>
      </w:pPr>
    </w:p>
    <w:p>
      <w:pPr>
        <w:jc w:val="both"/>
        <w:ind w:left="320" w:hanging="317"/>
        <w:spacing w:after="0" w:line="228"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Times New Roman" w:cs="Times New Roman" w:eastAsia="Times New Roman" w:hAnsi="Times New Roman"/>
          <w:sz w:val="17"/>
          <w:szCs w:val="17"/>
          <w:color w:val="auto"/>
        </w:rPr>
      </w:pPr>
    </w:p>
    <w:p>
      <w:pPr>
        <w:jc w:val="both"/>
        <w:ind w:left="620" w:hanging="307"/>
        <w:spacing w:after="0" w:line="228" w:lineRule="auto"/>
        <w:tabs>
          <w:tab w:leader="none" w:pos="6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Times New Roman" w:cs="Times New Roman" w:eastAsia="Times New Roman" w:hAnsi="Times New Roman"/>
          <w:sz w:val="17"/>
          <w:szCs w:val="17"/>
          <w:color w:val="auto"/>
        </w:rPr>
      </w:pPr>
    </w:p>
    <w:p>
      <w:pPr>
        <w:jc w:val="both"/>
        <w:ind w:left="620" w:hanging="307"/>
        <w:spacing w:after="0" w:line="228" w:lineRule="auto"/>
        <w:tabs>
          <w:tab w:leader="none" w:pos="6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Times New Roman" w:cs="Times New Roman" w:eastAsia="Times New Roman" w:hAnsi="Times New Roman"/>
          <w:sz w:val="17"/>
          <w:szCs w:val="17"/>
          <w:color w:val="auto"/>
        </w:rPr>
      </w:pPr>
    </w:p>
    <w:p>
      <w:pPr>
        <w:ind w:left="620" w:hanging="307"/>
        <w:spacing w:after="0"/>
        <w:tabs>
          <w:tab w:leader="none" w:pos="6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34" w:lineRule="auto"/>
        <w:tabs>
          <w:tab w:leader="none" w:pos="6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7"/>
          <w:szCs w:val="17"/>
          <w:color w:val="auto"/>
        </w:rPr>
      </w:pPr>
    </w:p>
    <w:p>
      <w:pPr>
        <w:ind w:left="320" w:hanging="317"/>
        <w:spacing w:after="0" w:line="256"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7"/>
          <w:szCs w:val="17"/>
          <w:color w:val="auto"/>
        </w:rPr>
        <w:t>Date: May 12, 2026</w:t>
      </w:r>
      <w:r>
        <w:rPr>
          <w:sz w:val="20"/>
          <w:szCs w:val="20"/>
          <w:color w:val="auto"/>
        </w:rPr>
        <w:tab/>
      </w: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20320</wp:posOffset>
            </wp:positionV>
            <wp:extent cx="242887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428875" cy="16510"/>
                    </a:xfrm>
                    <a:prstGeom prst="rect">
                      <a:avLst/>
                    </a:prstGeom>
                    <a:noFill/>
                  </pic:spPr>
                </pic:pic>
              </a:graphicData>
            </a:graphic>
          </wp:anchor>
        </w:drawing>
      </w:r>
    </w:p>
    <w:p>
      <w:pPr>
        <w:spacing w:after="0" w:line="4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Daniel Barcelo</w:t>
      </w:r>
    </w:p>
    <w:p>
      <w:pPr>
        <w:spacing w:after="0" w:line="4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7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0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jc w:val="center"/>
        <w:spacing w:after="0" w:line="206"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Joseph Evan Calio, certify that:</w:t>
      </w:r>
    </w:p>
    <w:p>
      <w:pPr>
        <w:spacing w:after="0" w:line="205" w:lineRule="exact"/>
        <w:rPr>
          <w:sz w:val="20"/>
          <w:szCs w:val="20"/>
          <w:color w:val="auto"/>
        </w:rPr>
      </w:pPr>
    </w:p>
    <w:p>
      <w:pPr>
        <w:ind w:left="320" w:hanging="317"/>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T1 Energy Inc.;</w:t>
      </w:r>
    </w:p>
    <w:p>
      <w:pPr>
        <w:spacing w:after="0" w:line="205" w:lineRule="exact"/>
        <w:rPr>
          <w:rFonts w:ascii="Times New Roman" w:cs="Times New Roman" w:eastAsia="Times New Roman" w:hAnsi="Times New Roman"/>
          <w:sz w:val="17"/>
          <w:szCs w:val="17"/>
          <w:color w:val="auto"/>
        </w:rPr>
      </w:pPr>
    </w:p>
    <w:p>
      <w:pPr>
        <w:ind w:left="320" w:hanging="317"/>
        <w:spacing w:after="0" w:line="256"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7"/>
          <w:szCs w:val="17"/>
          <w:color w:val="auto"/>
        </w:rPr>
      </w:pPr>
    </w:p>
    <w:p>
      <w:pPr>
        <w:jc w:val="both"/>
        <w:ind w:left="320" w:hanging="317"/>
        <w:spacing w:after="0" w:line="228"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Times New Roman" w:cs="Times New Roman" w:eastAsia="Times New Roman" w:hAnsi="Times New Roman"/>
          <w:sz w:val="17"/>
          <w:szCs w:val="17"/>
          <w:color w:val="auto"/>
        </w:rPr>
      </w:pPr>
    </w:p>
    <w:p>
      <w:pPr>
        <w:jc w:val="both"/>
        <w:ind w:left="620" w:hanging="307"/>
        <w:spacing w:after="0" w:line="228" w:lineRule="auto"/>
        <w:tabs>
          <w:tab w:leader="none" w:pos="61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Times New Roman" w:cs="Times New Roman" w:eastAsia="Times New Roman" w:hAnsi="Times New Roman"/>
          <w:sz w:val="17"/>
          <w:szCs w:val="17"/>
          <w:color w:val="auto"/>
        </w:rPr>
      </w:pPr>
    </w:p>
    <w:p>
      <w:pPr>
        <w:jc w:val="both"/>
        <w:ind w:left="620" w:hanging="307"/>
        <w:spacing w:after="0" w:line="228" w:lineRule="auto"/>
        <w:tabs>
          <w:tab w:leader="none" w:pos="61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Times New Roman" w:cs="Times New Roman" w:eastAsia="Times New Roman" w:hAnsi="Times New Roman"/>
          <w:sz w:val="17"/>
          <w:szCs w:val="17"/>
          <w:color w:val="auto"/>
        </w:rPr>
      </w:pPr>
    </w:p>
    <w:p>
      <w:pPr>
        <w:ind w:left="620" w:hanging="307"/>
        <w:spacing w:after="0"/>
        <w:tabs>
          <w:tab w:leader="none" w:pos="61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34" w:lineRule="auto"/>
        <w:tabs>
          <w:tab w:leader="none" w:pos="61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7"/>
          <w:szCs w:val="17"/>
          <w:color w:val="auto"/>
        </w:rPr>
      </w:pPr>
    </w:p>
    <w:p>
      <w:pPr>
        <w:ind w:left="320" w:hanging="317"/>
        <w:spacing w:after="0" w:line="256"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1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1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7"/>
          <w:szCs w:val="17"/>
          <w:color w:val="auto"/>
        </w:rPr>
        <w:t>Date: May 12, 2026</w:t>
      </w:r>
      <w:r>
        <w:rPr>
          <w:sz w:val="20"/>
          <w:szCs w:val="20"/>
          <w:color w:val="auto"/>
        </w:rPr>
        <w:tab/>
      </w: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20320</wp:posOffset>
            </wp:positionV>
            <wp:extent cx="242887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428875" cy="16510"/>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Joseph Evan Calio</w:t>
      </w:r>
    </w:p>
    <w:p>
      <w:pPr>
        <w:spacing w:after="0" w:line="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7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0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line="230"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SECTION 1350, AS ADOPTED PURSUANT TO SECTION 906 OF THE SARBANES-OXLEY ACT OF 2002</w:t>
      </w:r>
    </w:p>
    <w:p>
      <w:pPr>
        <w:spacing w:after="0" w:line="191"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In connection with the Quarterly Report of T1 Energy Inc. (the “Company”) on Form 10-Q for three months ended March 31, 2026, as filed with the Securities and Exchange Commission on the date hereof (the “Report”), I, Daniel Barcelo, Chief Executive Officer of the Company, hereby certify, pursuant to 18 U.S.C. § 1350, as adopted pursuant to § 906 of the Sarbanes-Oxley Act of 2002, that, to the best of my knowledge:</w:t>
      </w:r>
    </w:p>
    <w:p>
      <w:pPr>
        <w:spacing w:after="0" w:line="192" w:lineRule="exact"/>
        <w:rPr>
          <w:sz w:val="20"/>
          <w:szCs w:val="20"/>
          <w:color w:val="auto"/>
        </w:rPr>
      </w:pPr>
    </w:p>
    <w:p>
      <w:pPr>
        <w:ind w:left="1240" w:hanging="306"/>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of the Company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7"/>
          <w:szCs w:val="17"/>
          <w:color w:val="auto"/>
        </w:rPr>
        <w:t>Date: May 12, 2026</w:t>
      </w:r>
      <w:r>
        <w:rPr>
          <w:sz w:val="20"/>
          <w:szCs w:val="20"/>
          <w:color w:val="auto"/>
        </w:rPr>
        <w:tab/>
      </w: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20320</wp:posOffset>
            </wp:positionV>
            <wp:extent cx="242887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428875" cy="16510"/>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Daniel Barcelo</w:t>
      </w:r>
    </w:p>
    <w:p>
      <w:pPr>
        <w:spacing w:after="0" w:line="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7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0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ind w:left="3440"/>
        <w:spacing w:after="0" w:line="206" w:lineRule="auto"/>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In connection with the Quarterly Report of T1 Energy Inc. (the “Company”) on Form 10-Q for the three months ended March 31, 2026, as filed with the Securities and Exchange Commission on the date hereof (the “Report”), I, Joseph Evan Calio, Chief Financial Officer of the Company, hereby certify, pursuant to 18 U.S.C. § 1350, as adopted pursuant to § 906 of the Sarbanes-Oxley Act of 2002, that, to the best of my knowledge:</w:t>
      </w:r>
    </w:p>
    <w:p>
      <w:pPr>
        <w:spacing w:after="0" w:line="192" w:lineRule="exact"/>
        <w:rPr>
          <w:sz w:val="20"/>
          <w:szCs w:val="20"/>
          <w:color w:val="auto"/>
        </w:rPr>
      </w:pPr>
    </w:p>
    <w:p>
      <w:pPr>
        <w:ind w:left="1240" w:hanging="306"/>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of the Company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7"/>
          <w:szCs w:val="17"/>
          <w:color w:val="auto"/>
        </w:rPr>
        <w:t>Date: May 12, 2026</w:t>
      </w:r>
      <w:r>
        <w:rPr>
          <w:sz w:val="20"/>
          <w:szCs w:val="20"/>
          <w:color w:val="auto"/>
        </w:rPr>
        <w:tab/>
      </w: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7"/>
          <w:szCs w:val="17"/>
          <w:color w:val="auto"/>
        </w:rPr>
        <w:t>/s/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20320</wp:posOffset>
            </wp:positionV>
            <wp:extent cx="242887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428875" cy="16510"/>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Joseph Evan Calio</w:t>
      </w:r>
    </w:p>
    <w:p>
      <w:pPr>
        <w:spacing w:after="0" w:line="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7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sectPr>
      <w:pgSz w:w="11900" w:h="16838" w:orient="portrait"/>
      <w:cols w:equalWidth="0" w:num="1">
        <w:col w:w="11240"/>
      </w:cols>
      <w:pgMar w:left="320" w:top="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Roman"/>
      <w:start w:val="2"/>
    </w:lvl>
  </w:abstractNum>
  <w:abstractNum w:abstractNumId="3">
    <w:nsid w:val="140E0F76"/>
    <w:multiLevelType w:val="hybridMultilevel"/>
    <w:lvl w:ilvl="0">
      <w:lvlJc w:val="left"/>
      <w:lvlText w:val="%1."/>
      <w:numFmt w:val="decimal"/>
      <w:start w:val="7"/>
    </w:lvl>
  </w:abstractNum>
  <w:abstractNum w:abstractNumId="4">
    <w:nsid w:val="3352255A"/>
    <w:multiLevelType w:val="hybridMultilevel"/>
    <w:lvl w:ilvl="0">
      <w:lvlJc w:val="left"/>
      <w:lvlText w:val="%1."/>
      <w:numFmt w:val="decimal"/>
      <w:start w:val="9"/>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3"/>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47" Type="http://schemas.openxmlformats.org/officeDocument/2006/relationships/hyperlink" Target="https://www.sec.gov/Archives/edgar/data/1992243/000121390026045173/ea028661001ex4-2.htm" TargetMode="External"/><Relationship Id="rId48" Type="http://schemas.openxmlformats.org/officeDocument/2006/relationships/hyperlink" Target="https://www.sec.gov/Archives/edgar/data/1992243/000121390026048030/ea028744201ex10-1.htm" TargetMode="External"/><Relationship Id="rId49" Type="http://schemas.openxmlformats.org/officeDocument/2006/relationships/hyperlink" Target="https://www.sec.gov/Archives/edgar/data/1992243/000121390026017944/ea027744401ex10-1_t1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2026-05-12T16:18:25Z</dcterms:created>
  <dcterms:modified xsi:type="dcterms:W3CDTF">2026-05-12T16:18:25Z</dcterms:modified>
</cp:coreProperties>
</file>