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T1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11,145,141.00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11,145,141.00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11,145,141.00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12,346,674.00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12,346,674.00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12,346,674.00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12,346,674.00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12,346,674.00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12,346,674.00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12,346,674.00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12,346,674.00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12,346,674.00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T1 Energy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1211 E 4th Street, Austin, Texas 78702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 After acquiring beneficial ownership of more than 5% of the outstanding Common Stock on July 29, 2026, the reporting persons ceased to be beneficial owners of more than 5% of the outstanding Common Stock by the date of this filing.</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4, 2026, by and among Integrated Core Strategies (US) LLC, Millennium Management LLC, Millennium Group Management LLC and Israel A. Englander.</w:t>
            </w:r>
          </w:p>
        </w:tc>
      </w:tr>
    </w:tbl>
    <w:p>
      <w:pPr>
        <w:pStyle w:val="TextBody"/>
        <w:bidi w:val="0"/>
        <w:jc w:val="left"/>
        <w:rPr/>
      </w:pPr>
      <w:bookmarkStart w:id="28" w:name="tm2622354d1_ex-1.htm"/>
      <w:bookmarkStart w:id="29" w:name="kstm2622354d1_ex1"/>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$0.01 per share, of T1 Energy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4, 2026</w:t>
      </w:r>
    </w:p>
    <w:p>
      <w:pPr>
        <w:pStyle w:val="TextBody"/>
        <w:bidi w:val="0"/>
        <w:spacing w:before="0" w:after="283"/>
        <w:jc w:val="left"/>
        <w:rPr/>
      </w:pPr>
      <w:r>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CORE STRATEGIES (US)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Integrated Holding Group LP,</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Managing Member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Millennium Management LLC,</w:t>
            </w:r>
          </w:p>
          <w:p>
            <w:pPr>
              <w:pStyle w:val="TableContents"/>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1628</Words>
  <Characters>8460</Characters>
  <CharactersWithSpaces>10104</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