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6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12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40" w:before="0" w:after="120"/>
        <w:jc w:val="center"/>
        <w:rPr/>
      </w:pPr>
      <w:r>
        <w:rPr>
          <w:color w:val="000000"/>
        </w:rPr>
        <w:t xml:space="preserve">☒ </w:t>
      </w:r>
      <w:r>
        <w:rPr>
          <w:rFonts w:ascii="Times New Roman;serif" w:hAnsi="Times New Roman;serif"/>
          <w:b/>
          <w:color w:val="000000"/>
          <w:sz w:val="18"/>
        </w:rPr>
        <w:t>QUARTERLY REPORT PURSUANT TO SECTION 13 OR 15(d) OF THE SECURITIES EXCHANGE ACT OF 1934 </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40" w:before="0" w:after="12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_________</w:t>
      </w:r>
    </w:p>
    <w:p>
      <w:pPr>
        <w:pStyle w:val="TextBody"/>
        <w:bidi w:val="0"/>
        <w:spacing w:lineRule="auto" w:line="240" w:before="0" w:after="120"/>
        <w:jc w:val="center"/>
        <w:rPr>
          <w:rFonts w:ascii="Times New Roman;serif" w:hAnsi="Times New Roman;serif"/>
          <w:b/>
          <w:color w:val="000000"/>
          <w:sz w:val="18"/>
        </w:rPr>
      </w:pPr>
      <w:r>
        <w:rPr>
          <w:rFonts w:ascii="Times New Roman;serif" w:hAnsi="Times New Roman;serif"/>
          <w:b/>
          <w:color w:val="000000"/>
          <w:sz w:val="18"/>
        </w:rPr>
        <w:t>Commission file number 001-41903</w:t>
      </w:r>
    </w:p>
    <w:p>
      <w:pPr>
        <w:pStyle w:val="TextBody"/>
        <w:bidi w:val="0"/>
        <w:spacing w:lineRule="auto" w:line="240" w:before="0" w:after="140"/>
        <w:jc w:val="center"/>
        <w:rPr/>
      </w:pPr>
      <w:r>
        <w:rPr/>
        <w:drawing>
          <wp:inline distT="0" distB="0" distL="0" distR="0">
            <wp:extent cx="857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371475"/>
                    </a:xfrm>
                    <a:prstGeom prst="rect">
                      <a:avLst/>
                    </a:prstGeom>
                  </pic:spPr>
                </pic:pic>
              </a:graphicData>
            </a:graphic>
          </wp:inline>
        </w:drawing>
      </w:r>
      <w:bookmarkStart w:id="0" w:name="i-1"/>
      <w:bookmarkEnd w:id="0"/>
      <w:r>
        <w:rPr>
          <w:color w:val="000000"/>
        </w:rPr>
        <w:t xml:space="preserve"> </w:t>
      </w:r>
    </w:p>
    <w:p>
      <w:pPr>
        <w:pStyle w:val="TextBody"/>
        <w:bidi w:val="0"/>
        <w:spacing w:lineRule="auto" w:line="240" w:before="0" w:after="14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870" w:type="dxa"/>
        <w:jc w:val="center"/>
        <w:tblInd w:w="0" w:type="dxa"/>
        <w:tblLayout w:type="fixed"/>
        <w:tblCellMar>
          <w:top w:w="28" w:type="dxa"/>
          <w:left w:w="28" w:type="dxa"/>
          <w:bottom w:w="28" w:type="dxa"/>
          <w:right w:w="28" w:type="dxa"/>
        </w:tblCellMar>
      </w:tblPr>
      <w:tblGrid>
        <w:gridCol w:w="1812"/>
        <w:gridCol w:w="1590"/>
        <w:gridCol w:w="1607"/>
        <w:gridCol w:w="109"/>
        <w:gridCol w:w="109"/>
        <w:gridCol w:w="109"/>
        <w:gridCol w:w="740"/>
        <w:gridCol w:w="740"/>
        <w:gridCol w:w="1054"/>
      </w:tblGrid>
      <w:tr>
        <w:trPr/>
        <w:tc>
          <w:tcPr>
            <w:tcW w:w="1812"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93-3205861</w:t>
            </w:r>
          </w:p>
        </w:tc>
      </w:tr>
      <w:tr>
        <w:trPr/>
        <w:tc>
          <w:tcPr>
            <w:tcW w:w="5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18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1211 E 4th St.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Austin, Texas 78702</w: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(409) 599-5706</w:t>
      </w:r>
    </w:p>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p>
      <w:pPr>
        <w:pStyle w:val="TextBody"/>
        <w:bidi w:val="0"/>
        <w:spacing w:before="0" w:after="0"/>
        <w:ind w:left="0" w:right="0" w:firstLine="720"/>
        <w:jc w:val="center"/>
        <w:rPr/>
      </w:pPr>
      <w:r>
        <w:rPr/>
      </w:r>
    </w:p>
    <w:p>
      <w:pPr>
        <w:pStyle w:val="TextBody"/>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106" w:type="dxa"/>
        <w:jc w:val="left"/>
        <w:tblInd w:w="0" w:type="dxa"/>
        <w:tblLayout w:type="fixed"/>
        <w:tblCellMar>
          <w:top w:w="28" w:type="dxa"/>
          <w:left w:w="28" w:type="dxa"/>
          <w:bottom w:w="28" w:type="dxa"/>
          <w:right w:w="28" w:type="dxa"/>
        </w:tblCellMar>
      </w:tblPr>
      <w:tblGrid>
        <w:gridCol w:w="873"/>
        <w:gridCol w:w="768"/>
        <w:gridCol w:w="773"/>
        <w:gridCol w:w="109"/>
        <w:gridCol w:w="109"/>
        <w:gridCol w:w="109"/>
        <w:gridCol w:w="519"/>
        <w:gridCol w:w="519"/>
        <w:gridCol w:w="521"/>
        <w:gridCol w:w="109"/>
        <w:gridCol w:w="109"/>
        <w:gridCol w:w="109"/>
        <w:gridCol w:w="1019"/>
        <w:gridCol w:w="1019"/>
        <w:gridCol w:w="1441"/>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w:t>
            </w:r>
          </w:p>
        </w:tc>
      </w:tr>
    </w:tbl>
    <w:p>
      <w:pPr>
        <w:pStyle w:val="TextBody"/>
        <w:bidi w:val="0"/>
        <w:spacing w:lineRule="auto" w:line="240" w:before="0" w:after="8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40" w:before="0" w:after="120"/>
        <w:jc w:val="both"/>
        <w:rPr/>
      </w:pPr>
      <w:r>
        <w:rPr>
          <w:rFonts w:ascii="Times New Roman;serif" w:hAnsi="Times New Roman;serif"/>
          <w:b w:val="false"/>
          <w:color w:val="000000"/>
          <w:sz w:val="16"/>
        </w:rPr>
        <w:t>As of August 10, 2026, there were 294,527,066 shares of the registrant’s common stock outstanding.</w:t>
      </w:r>
      <w:r>
        <w:rPr>
          <w:color w:val="000000"/>
        </w:rPr>
        <w:t> </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180"/>
        <w:ind w:left="0" w:right="0" w:hanging="900"/>
        <w:jc w:val="left"/>
        <w:rPr>
          <w:color w:val="000000"/>
        </w:rPr>
      </w:pPr>
      <w:r>
        <w:rPr>
          <w:color w:val="000000"/>
        </w:rPr>
        <w:t> </w:t>
      </w:r>
    </w:p>
    <w:tbl>
      <w:tblPr>
        <w:tblW w:w="9311" w:type="dxa"/>
        <w:jc w:val="left"/>
        <w:tblInd w:w="0" w:type="dxa"/>
        <w:tblLayout w:type="fixed"/>
        <w:tblCellMar>
          <w:top w:w="28" w:type="dxa"/>
          <w:left w:w="28" w:type="dxa"/>
          <w:bottom w:w="28" w:type="dxa"/>
          <w:right w:w="28" w:type="dxa"/>
        </w:tblCellMar>
      </w:tblPr>
      <w:tblGrid>
        <w:gridCol w:w="455"/>
        <w:gridCol w:w="400"/>
        <w:gridCol w:w="400"/>
        <w:gridCol w:w="2451"/>
        <w:gridCol w:w="2451"/>
        <w:gridCol w:w="2463"/>
        <w:gridCol w:w="202"/>
        <w:gridCol w:w="202"/>
        <w:gridCol w:w="287"/>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PAGE</w:t>
            </w:r>
          </w:p>
        </w:tc>
      </w:tr>
      <w:tr>
        <w:trPr/>
        <w:tc>
          <w:tcPr>
            <w:tcW w:w="86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
              <w:r>
                <w:rPr>
                  <w:rStyle w:val="InternetLink"/>
                  <w:rFonts w:ascii="Times New Roman;serif" w:hAnsi="Times New Roman;serif"/>
                  <w:b w:val="false"/>
                  <w:color w:val="0000FF"/>
                  <w:sz w:val="20"/>
                  <w:u w:val="single"/>
                </w:rPr>
                <w:t>Part I - Financial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6">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6">
              <w:r>
                <w:rPr>
                  <w:rStyle w:val="InternetLink"/>
                  <w:rFonts w:ascii="Times New Roman;serif" w:hAnsi="Times New Roman;serif"/>
                  <w:b w:val="false"/>
                  <w:color w:val="0000FF"/>
                  <w:sz w:val="20"/>
                  <w:u w:val="single"/>
                </w:rPr>
                <w:t xml:space="preserve">Financial Statements </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6">
              <w:r>
                <w:rPr>
                  <w:rStyle w:val="InternetLink"/>
                  <w:rFonts w:ascii="Times New Roman;serif" w:hAnsi="Times New Roman;serif"/>
                  <w:b w:val="false"/>
                  <w:color w:val="0000FF"/>
                  <w:sz w:val="20"/>
                  <w:u w:val="single"/>
                </w:rPr>
                <w:t>1</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97">
              <w:r>
                <w:rPr>
                  <w:rStyle w:val="InternetLink"/>
                  <w:rFonts w:ascii="Times New Roman;serif" w:hAnsi="Times New Roman;serif"/>
                  <w:b w:val="false"/>
                  <w:color w:val="0000FF"/>
                  <w:sz w:val="20"/>
                  <w:u w:val="singl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a071b2a89e14235ab3d16b77aa4f1cc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97">
              <w:r>
                <w:rPr>
                  <w:rStyle w:val="InternetLink"/>
                  <w:rFonts w:ascii="Times New Roman;serif" w:hAnsi="Times New Roman;serif"/>
                  <w:b w:val="false"/>
                  <w:color w:val="0000FF"/>
                  <w:sz w:val="20"/>
                  <w:u w:val="single"/>
                </w:rPr>
                <w:t>24</w:t>
              </w:r>
            </w:hyperlink>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12">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12">
              <w:r>
                <w:rPr>
                  <w:rStyle w:val="InternetLink"/>
                  <w:rFonts w:ascii="Times New Roman;serif" w:hAnsi="Times New Roman;serif"/>
                  <w:b w:val="false"/>
                  <w:color w:val="0000FF"/>
                  <w:sz w:val="20"/>
                  <w:u w:val="single"/>
                </w:rPr>
                <w:t>Quantitative and Qualitative Disclosures About Market Risk</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12">
              <w:r>
                <w:rPr>
                  <w:rStyle w:val="InternetLink"/>
                  <w:rFonts w:ascii="Times New Roman;serif" w:hAnsi="Times New Roman;serif"/>
                  <w:b w:val="false"/>
                  <w:color w:val="0000FF"/>
                  <w:sz w:val="20"/>
                  <w:u w:val="single"/>
                </w:rPr>
                <w:t>29</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15">
              <w:r>
                <w:rPr>
                  <w:rStyle w:val="InternetLink"/>
                  <w:rFonts w:ascii="Times New Roman;serif" w:hAnsi="Times New Roman;serif"/>
                  <w:b w:val="false"/>
                  <w:color w:val="0000FF"/>
                  <w:sz w:val="20"/>
                  <w:u w:val="singl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15">
              <w:r>
                <w:rPr>
                  <w:rStyle w:val="InternetLink"/>
                  <w:rFonts w:ascii="Times New Roman;serif" w:hAnsi="Times New Roman;serif"/>
                  <w:b w:val="false"/>
                  <w:color w:val="0000FF"/>
                  <w:sz w:val="20"/>
                  <w:u w:val="single"/>
                </w:rPr>
                <w:t>Controls and Procedures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15">
              <w:r>
                <w:rPr>
                  <w:rStyle w:val="InternetLink"/>
                  <w:rFonts w:ascii="Times New Roman;serif" w:hAnsi="Times New Roman;serif"/>
                  <w:b w:val="false"/>
                  <w:color w:val="0000FF"/>
                  <w:sz w:val="20"/>
                  <w:u w:val="single"/>
                </w:rPr>
                <w:t>29</w:t>
              </w:r>
            </w:hyperlink>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18">
              <w:r>
                <w:rPr>
                  <w:rStyle w:val="InternetLink"/>
                  <w:rFonts w:ascii="Times New Roman;serif" w:hAnsi="Times New Roman;serif"/>
                  <w:b w:val="false"/>
                  <w:color w:val="0000FF"/>
                  <w:sz w:val="20"/>
                  <w:u w:val="single"/>
                </w:rPr>
                <w:t>Part II - 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21">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a071b2a89e14235ab3d16b77aa4f1cc_121">
              <w:r>
                <w:rPr>
                  <w:rStyle w:val="InternetLink"/>
                  <w:rFonts w:ascii="Times New Roman;serif" w:hAnsi="Times New Roman;serif"/>
                  <w:b w:val="false"/>
                  <w:color w:val="0000FF"/>
                  <w:sz w:val="20"/>
                  <w:u w:val="single"/>
                </w:rPr>
                <w:t>Legal Proceedings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21">
              <w:r>
                <w:rPr>
                  <w:rStyle w:val="InternetLink"/>
                  <w:rFonts w:ascii="Times New Roman;serif" w:hAnsi="Times New Roman;serif"/>
                  <w:b w:val="false"/>
                  <w:color w:val="0000FF"/>
                  <w:sz w:val="20"/>
                  <w:u w:val="single"/>
                </w:rPr>
                <w:t>30</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24">
              <w:r>
                <w:rPr>
                  <w:rStyle w:val="InternetLink"/>
                  <w:rFonts w:ascii="Times New Roman;serif" w:hAnsi="Times New Roman;serif"/>
                  <w:b w:val="false"/>
                  <w:color w:val="0000FF"/>
                  <w:sz w:val="20"/>
                  <w:u w:val="single"/>
                </w:rPr>
                <w:t>Item 1A.</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24">
              <w:r>
                <w:rPr>
                  <w:rStyle w:val="InternetLink"/>
                  <w:rFonts w:ascii="Times New Roman;serif" w:hAnsi="Times New Roman;serif"/>
                  <w:b w:val="false"/>
                  <w:color w:val="0000FF"/>
                  <w:sz w:val="20"/>
                  <w:u w:val="single"/>
                </w:rPr>
                <w:t>Risk Factors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24">
              <w:r>
                <w:rPr>
                  <w:rStyle w:val="InternetLink"/>
                  <w:rFonts w:ascii="Times New Roman;serif" w:hAnsi="Times New Roman;serif"/>
                  <w:b w:val="false"/>
                  <w:color w:val="0000FF"/>
                  <w:sz w:val="20"/>
                  <w:u w:val="single"/>
                </w:rPr>
                <w:t>31</w:t>
              </w:r>
            </w:hyperlink>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27">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a071b2a89e14235ab3d16b77aa4f1cc_127">
              <w:r>
                <w:rPr>
                  <w:rStyle w:val="InternetLink"/>
                  <w:rFonts w:ascii="Times New Roman;serif" w:hAnsi="Times New Roman;serif"/>
                  <w:b w:val="false"/>
                  <w:color w:val="0000FF"/>
                  <w:sz w:val="20"/>
                  <w:u w:val="single"/>
                </w:rPr>
                <w:t>Unregistered Sales of Equity Securities and Use of Proceeds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27">
              <w:r>
                <w:rPr>
                  <w:rStyle w:val="InternetLink"/>
                  <w:rFonts w:ascii="Times New Roman;serif" w:hAnsi="Times New Roman;serif"/>
                  <w:b w:val="false"/>
                  <w:color w:val="0000FF"/>
                  <w:sz w:val="20"/>
                  <w:u w:val="single"/>
                </w:rPr>
                <w:t>31</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3">
              <w:r>
                <w:rPr>
                  <w:rStyle w:val="InternetLink"/>
                  <w:rFonts w:ascii="Times New Roman;serif" w:hAnsi="Times New Roman;serif"/>
                  <w:b w:val="false"/>
                  <w:color w:val="0000FF"/>
                  <w:sz w:val="20"/>
                  <w:u w:val="singl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3">
              <w:r>
                <w:rPr>
                  <w:rStyle w:val="InternetLink"/>
                  <w:rFonts w:ascii="Times New Roman;serif" w:hAnsi="Times New Roman;serif"/>
                  <w:b w:val="false"/>
                  <w:color w:val="0000FF"/>
                  <w:sz w:val="20"/>
                  <w:u w:val="single"/>
                </w:rPr>
                <w:t>Defaults Upon Senior Securities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33">
              <w:r>
                <w:rPr>
                  <w:rStyle w:val="InternetLink"/>
                  <w:rFonts w:ascii="Times New Roman;serif" w:hAnsi="Times New Roman;serif"/>
                  <w:b w:val="false"/>
                  <w:color w:val="0000FF"/>
                  <w:sz w:val="20"/>
                  <w:u w:val="single"/>
                </w:rPr>
                <w:t>32</w:t>
              </w:r>
            </w:hyperlink>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6">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8a071b2a89e14235ab3d16b77aa4f1cc_136">
              <w:r>
                <w:rPr>
                  <w:rStyle w:val="InternetLink"/>
                  <w:rFonts w:ascii="Times New Roman;serif" w:hAnsi="Times New Roman;serif"/>
                  <w:b w:val="false"/>
                  <w:color w:val="0000FF"/>
                  <w:sz w:val="20"/>
                  <w:u w:val="single"/>
                </w:rPr>
                <w:t>Mine Safety Disclosures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36">
              <w:r>
                <w:rPr>
                  <w:rStyle w:val="InternetLink"/>
                  <w:rFonts w:ascii="Times New Roman;serif" w:hAnsi="Times New Roman;serif"/>
                  <w:b w:val="false"/>
                  <w:color w:val="0000FF"/>
                  <w:sz w:val="20"/>
                  <w:u w:val="single"/>
                </w:rPr>
                <w:t>32</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9">
              <w:r>
                <w:rPr>
                  <w:rStyle w:val="InternetLink"/>
                  <w:rFonts w:ascii="Times New Roman;serif" w:hAnsi="Times New Roman;serif"/>
                  <w:b w:val="false"/>
                  <w:color w:val="0000FF"/>
                  <w:sz w:val="20"/>
                  <w:u w:val="single"/>
                </w:rPr>
                <w:t>Item 5.</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39">
              <w:r>
                <w:rPr>
                  <w:rStyle w:val="InternetLink"/>
                  <w:rFonts w:ascii="Times New Roman;serif" w:hAnsi="Times New Roman;serif"/>
                  <w:b w:val="false"/>
                  <w:color w:val="0000FF"/>
                  <w:sz w:val="20"/>
                  <w:u w:val="single"/>
                </w:rPr>
                <w:t>Other Information</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39">
              <w:r>
                <w:rPr>
                  <w:rStyle w:val="InternetLink"/>
                  <w:rFonts w:ascii="Times New Roman;serif" w:hAnsi="Times New Roman;serif"/>
                  <w:b w:val="false"/>
                  <w:color w:val="0000FF"/>
                  <w:sz w:val="20"/>
                  <w:u w:val="single"/>
                </w:rPr>
                <w:t>32</w:t>
              </w:r>
            </w:hyperlink>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42">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42">
              <w:r>
                <w:rPr>
                  <w:rStyle w:val="InternetLink"/>
                  <w:rFonts w:ascii="Times New Roman;serif" w:hAnsi="Times New Roman;serif"/>
                  <w:b w:val="false"/>
                  <w:color w:val="0000FF"/>
                  <w:sz w:val="20"/>
                  <w:u w:val="single"/>
                </w:rPr>
                <w:t>Exhibits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42">
              <w:r>
                <w:rPr>
                  <w:rStyle w:val="InternetLink"/>
                  <w:rFonts w:ascii="Times New Roman;serif" w:hAnsi="Times New Roman;serif"/>
                  <w:b w:val="false"/>
                  <w:color w:val="0000FF"/>
                  <w:sz w:val="20"/>
                  <w:u w:val="single"/>
                </w:rPr>
                <w:t>33</w:t>
              </w:r>
            </w:hyperlink>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a071b2a89e14235ab3d16b77aa4f1cc_145">
              <w:r>
                <w:rPr>
                  <w:rStyle w:val="InternetLink"/>
                  <w:rFonts w:ascii="Times New Roman;serif" w:hAnsi="Times New Roman;serif"/>
                  <w:b w:val="false"/>
                  <w:color w:val="0000FF"/>
                  <w:sz w:val="20"/>
                  <w:u w:val="single"/>
                </w:rPr>
                <w:t>Signatures</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a071b2a89e14235ab3d16b77aa4f1cc_145">
              <w:r>
                <w:rPr>
                  <w:rStyle w:val="InternetLink"/>
                  <w:rFonts w:ascii="Times New Roman;serif" w:hAnsi="Times New Roman;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0045"/>
                <wp:effectExtent l="0" t="0" r="0" b="0"/>
                <wp:wrapNone/>
                <wp:docPr id="3" name="Frame2"/>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before="0" w:after="60"/>
                              <w:ind w:left="0" w:right="0" w:firstLine="720"/>
                              <w:jc w:val="center"/>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60"/>
                        <w:ind w:left="0" w:right="0" w:firstLine="720"/>
                        <w:jc w:val="center"/>
                        <w:rPr/>
                      </w:pPr>
                      <w:r>
                        <w:rPr/>
                      </w:r>
                    </w:p>
                    <w:p>
                      <w:pPr>
                        <w:pStyle w:val="TextBody"/>
                        <w:bidi w:val="0"/>
                        <w:spacing w:lineRule="auto" w:line="240"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jc w:val="both"/>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the information and documents incorporated by reference herein, contains forward-looking statements within the meaning of Section 27A of the Securities Act of 1933, as amended (the “Securities Act”), and Section 21E of the Securities Exchange Act of 1934, as amended (the “Exchange Act”). All statements other than statements of historical or current facts contained or incorporated by reference in this Quarterly Report on Form 10-Q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 strategies and factors and trends affecting our business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by discussions of strategy, plans or intentions and are intended to identify forward-looking statements, although not all forward-looking statements contain such identifying words.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or incorporated by reference in this Quarterly Report on Form 10-Q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 without limitation, the risks set forth in Part I, Item 1A, “Risk Factors” in our Annual Report on Form 10-K for the year ended December 31, 2025 filed with the U.S. Securities and Exchange Commission (the “SEC”) on March 31, 2026, as amended and supplemented by Amendment No. 1 on Form 10-K/A filed with the SEC on April 30, 2026, and in our other filings with the SEC, including risks related to: (1) our ability to (i) construct and equip manufacturing facilities in a timely and cost-effective manner; (ii) target and retain customers and suppliers; (iii) attract and retain key employees and qualified personnel; (iv) protect our intellectual property; (v) comply with legal and environmental regulations; (vi) compete in international markets in light of export and import controls; (vii) incur substantially more debt; (viii) remediate the material weakness in our internal control over financial reporting or otherwise maintain effective internal control over financial reporting; (ix) qualify for the advanced manufacturing production credit under Section 45X of the Internal Revenue Code of 1986, as amended; and (x) our exposure to warranty claims; (2) our ability to secure comprehensive financing solution to fund the remaining capital expenditure for Phase 1 of G2_Austin (as defined herein) on favorable terms, or at all, and the timing of such financing; (3) the concentration of our operations in Texas and our dependence on a limited number of suppliers; (4) changes adversely affecting the flow of components and materials from international vendors, the costs of raw materials, components, equipment, and machinery; (5) general economic and geopolitical conditions, (6) changes in applicable laws or regulations, including environmental, export control and tax laws and incentives and renewable energy targets, as well as international trade policies, including tariffs, on our products and our competitive position (including T1’s ability to obtain tariff refunds); (7) the outcome of any legal proceedings relating to our products and services, including intellectual property or product liability claims, commercial or contractual disputes, warranty claims, and other proceedings; and (8) the capital-intensive nature of our business and our ability to raise additional capital on attractive terms or service our debt.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or the documents incorporated by reference 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incorporated by reference herein, with the understanding that our actual future results, levels of activity, performance and achievements may be materially different from what we expect. All forward-looking statements attributable to us or persons acting on our behalf are expressly qualified in their entirety by these cautionary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speak only as of the date of this Quarterly Report on Form 10-Q. Except as required by applicable law, we do not assume any obligation to update any forward-looking statement, whether as a result of any new information, future events or otherwise.</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Additional Information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we changed our corporate name from FREYR Battery, Inc. to T1 Energy Inc. We will not distinguish between our prior and current corporate name and will refer to our current corporate name throughout this Quarterly Report on Form 10-Q. As such, unless expressly indicated or the context requires otherwise, the terms “T1,”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40" w:before="0" w:after="180"/>
        <w:jc w:val="both"/>
        <w:rPr>
          <w:color w:val="000000"/>
        </w:rPr>
      </w:pPr>
      <w:r>
        <w:rPr>
          <w:color w:val="000000"/>
        </w:rPr>
        <w:t>“</w:t>
      </w:r>
      <w:r>
        <w:rPr>
          <w:rFonts w:ascii="Times New Roman;serif" w:hAnsi="Times New Roman;serif"/>
          <w:b w:val="false"/>
          <w:color w:val="000000"/>
          <w:sz w:val="20"/>
        </w:rPr>
        <w:t>Company,” “we,” “us,” and “our” in this document refer to T1 Energy Inc., a Delaware corporation, and, where appropriate, its subsidiaries.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T1 intends to use its website as a channel of distribution to disclose information which may be of interest or material to investors and to communicate with investors and the public. Such disclosures will be included on T1’s website in the “Investor Relations” section located at https://ir.t1energy.com/. T1 also intends to use certain social media channels, including, but not limited to, our X account (https://x.com/T1_Energy), our LinkedIn account (https://www.linkedin.com/company/t1energy) and our Instagram account (https://www.instagram.com/t1_energy/), as well as Daniel Barcelo’s X account (https://x.com/_danielbarcelo) and LinkedIn account (https://www.linkedin.com/in/daniel-barcelo-b262a939/),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posts and to monitor such portions of T1’s website and social media channels on a regular basis, in addition to following T1’s press releases, SEC filings, and public conference calls and webcasts. The contents of T1’s website and other social media channels shall not be deemed incorporated by reference in any filing under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ind w:left="0" w:right="0" w:firstLine="72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49"/>
        <w:gridCol w:w="2251"/>
        <w:gridCol w:w="2234"/>
        <w:gridCol w:w="110"/>
        <w:gridCol w:w="110"/>
        <w:gridCol w:w="110"/>
        <w:gridCol w:w="184"/>
        <w:gridCol w:w="781"/>
        <w:gridCol w:w="110"/>
        <w:gridCol w:w="110"/>
        <w:gridCol w:w="110"/>
        <w:gridCol w:w="110"/>
        <w:gridCol w:w="201"/>
        <w:gridCol w:w="853"/>
        <w:gridCol w:w="182"/>
      </w:tblGrid>
      <w:tr>
        <w:trPr/>
        <w:tc>
          <w:tcPr>
            <w:tcW w:w="2749"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ASSETS</w:t>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182,450 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cash</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70,207 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81,203 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trade, net - related parties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84,481 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Government grants receivable, net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95,390 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228,773 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116,043 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Advances to suppliers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133,231 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current assets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assets of discontinued operations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Total current assets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751,195 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663,492 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cash</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7,120 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302,302 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Intangible assets, net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157,781 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5"/>
              </w:rPr>
            </w:pPr>
            <w:r>
              <w:rPr>
                <w:rFonts w:ascii="Times New Roman;serif" w:hAnsi="Times New Roman;serif"/>
                <w:b w:val="false"/>
                <w:color w:val="000000"/>
                <w:sz w:val="15"/>
              </w:rPr>
              <w:t>Right-of-use asset under operating leases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218,320 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151,166 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10,098 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1,642,269 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1,372,108 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LIABILITIES, REDEEMABLE PREFERRED STOCK AND STOCKHOLDERS’ EQUITY</w:t>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liabilities: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102,282 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91,323 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liabilities and other</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86,085 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56,731 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Derivative liabilities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long-term debt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49,593 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46,357 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Accounts payable and accrued liabilities - related parties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125,736 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162,754 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liabilities of discontinued operations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47,538 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577,476 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463,588 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deferred revenue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48,189 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48,189 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Convertible notes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152,960 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liability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206,161 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143,534 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debt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116,534 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137,303 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debt - related party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54,850 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53,538 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 liability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long-term liabilities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31,291 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47,353 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1,366,995 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1,050,223 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Commitments and contingencies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Redeemable preferred stock</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 xml:space="preserve">Series B convertible non-voting preferred stock, $0.01 par value, 1,600 shares issued and outstanding as of both June 30, 2026 and December 31, 2025, respectively (includes accrued dividends of $640 and $160 as of June 30, 2026 and December 31, 2025, respectively)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 xml:space="preserve">Series B-1 convertible non-voting preferred stock, $0.01 par value, 5,000 shares issued and outstanding as of both June 30, 2026 and December 31, 2025, respectively (includes accrued dividends of $2,000 and $500 as of June 30, 2026 and December 31, 2025, respectively)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53,710 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44"/>
              <w:jc w:val="left"/>
              <w:rPr>
                <w:rFonts w:ascii="Times New Roman;serif" w:hAnsi="Times New Roman;serif"/>
                <w:b w:val="false"/>
                <w:color w:val="000000"/>
                <w:sz w:val="15"/>
              </w:rPr>
            </w:pPr>
            <w:r>
              <w:rPr>
                <w:rFonts w:ascii="Times New Roman;serif" w:hAnsi="Times New Roman;serif"/>
                <w:b w:val="false"/>
                <w:color w:val="000000"/>
                <w:sz w:val="15"/>
              </w:rPr>
              <w:t xml:space="preserve">Common stock, $0.01 par value, 280,604 and 266,267 shares issued and outstanding as of June 30, 2026 and December 31, 2025, respectively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1,371,216 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1,358,992 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other comprehensive loss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deficit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(1,157,027)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(1,093,072)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equity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201,779 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250,370 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 redeemable preferred stock and equity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1,642,269 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1,372,108 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4830"/>
                <wp:effectExtent l="0" t="0" r="0" b="0"/>
                <wp:wrapNone/>
                <wp:docPr id="6" name="Frame5"/>
                <a:graphic xmlns:a="http://schemas.openxmlformats.org/drawingml/2006/main">
                  <a:graphicData uri="http://schemas.microsoft.com/office/word/2010/wordprocessingShape">
                    <wps:wsp>
                      <wps:cNvSpPr txBox="1"/>
                      <wps:spPr>
                        <a:xfrm>
                          <a:off x="0" y="0"/>
                          <a:ext cx="6480175" cy="544830"/>
                        </a:xfrm>
                        <a:prstGeom prst="rect"/>
                        <a:solidFill>
                          <a:srgbClr val="FFFFFF"/>
                        </a:solidFill>
                      </wps:spPr>
                      <wps:txbx>
                        <w:txbxContent>
                          <w:p>
                            <w:pPr>
                              <w:pStyle w:val="TextBody"/>
                              <w:bidi w:val="0"/>
                              <w:spacing w:lineRule="auto" w:line="240" w:before="0" w:after="6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6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6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6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40" w:before="0" w:after="0"/>
        <w:ind w:left="0" w:right="0" w:firstLine="72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tbl>
      <w:tblPr>
        <w:tblW w:w="9870" w:type="dxa"/>
        <w:jc w:val="center"/>
        <w:tblInd w:w="0" w:type="dxa"/>
        <w:tblLayout w:type="fixed"/>
        <w:tblCellMar>
          <w:top w:w="28" w:type="dxa"/>
          <w:left w:w="28" w:type="dxa"/>
          <w:bottom w:w="28" w:type="dxa"/>
          <w:right w:w="28" w:type="dxa"/>
        </w:tblCellMar>
      </w:tblPr>
      <w:tblGrid>
        <w:gridCol w:w="1719"/>
        <w:gridCol w:w="1502"/>
        <w:gridCol w:w="1519"/>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sales - related party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net sales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sales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profit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Operating expenses: </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Operating loss from continuing operations </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(45,286)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Other (expense) income: </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Warrant liability fair value adjustment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 fair value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Impairment of assets previously classified as held for sale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(expense) income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continuing operations before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 benefit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from continuing operations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from discontinued operations, net of tax</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dividends and accretion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attributable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shares outstanding:</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shares of common stock outstanding - basic</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shares of common stock outstanding - diluted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per share attributable to common stockholders: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per share from continuing operations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per share from discontinued operations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per share - basic and diluted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comprehensive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dividends and accretion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(62,938)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7230"/>
                <wp:effectExtent l="0" t="0" r="0" b="0"/>
                <wp:wrapNone/>
                <wp:docPr id="7" name="Frame6"/>
                <a:graphic xmlns:a="http://schemas.openxmlformats.org/drawingml/2006/main">
                  <a:graphicData uri="http://schemas.microsoft.com/office/word/2010/wordprocessingShape">
                    <wps:wsp>
                      <wps:cNvSpPr txBox="1"/>
                      <wps:spPr>
                        <a:xfrm>
                          <a:off x="0" y="0"/>
                          <a:ext cx="6480175" cy="697230"/>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ind w:left="0" w:right="0" w:firstLine="720"/>
        <w:jc w:val="center"/>
        <w:rPr/>
      </w:pPr>
      <w:r>
        <w:rPr/>
      </w:r>
    </w:p>
    <w:p>
      <w:pPr>
        <w:pStyle w:val="TextBody"/>
        <w:bidi w:val="0"/>
        <w:spacing w:before="0" w:after="180"/>
        <w:ind w:left="0" w:right="0" w:firstLine="720"/>
        <w:jc w:val="center"/>
        <w:rPr/>
      </w:pPr>
      <w:r>
        <w:rPr/>
      </w:r>
    </w:p>
    <w:p>
      <w:pPr>
        <w:pStyle w:val="TextBody"/>
        <w:bidi w:val="0"/>
        <w:spacing w:before="0" w:after="180"/>
        <w:ind w:left="0" w:right="0" w:firstLine="720"/>
        <w:jc w:val="center"/>
        <w:rPr/>
      </w:pPr>
      <w:r>
        <w:rPr/>
      </w:r>
    </w:p>
    <w:p>
      <w:pPr>
        <w:pStyle w:val="TextBody"/>
        <w:bidi w:val="0"/>
        <w:spacing w:before="0" w:after="18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736"/>
        <w:gridCol w:w="324"/>
        <w:gridCol w:w="327"/>
        <w:gridCol w:w="109"/>
        <w:gridCol w:w="109"/>
        <w:gridCol w:w="109"/>
        <w:gridCol w:w="368"/>
        <w:gridCol w:w="368"/>
        <w:gridCol w:w="231"/>
        <w:gridCol w:w="109"/>
        <w:gridCol w:w="109"/>
        <w:gridCol w:w="109"/>
        <w:gridCol w:w="196"/>
        <w:gridCol w:w="556"/>
        <w:gridCol w:w="109"/>
        <w:gridCol w:w="109"/>
        <w:gridCol w:w="109"/>
        <w:gridCol w:w="109"/>
        <w:gridCol w:w="224"/>
        <w:gridCol w:w="844"/>
        <w:gridCol w:w="125"/>
        <w:gridCol w:w="109"/>
        <w:gridCol w:w="109"/>
        <w:gridCol w:w="109"/>
        <w:gridCol w:w="325"/>
        <w:gridCol w:w="1101"/>
        <w:gridCol w:w="182"/>
        <w:gridCol w:w="109"/>
        <w:gridCol w:w="109"/>
        <w:gridCol w:w="109"/>
        <w:gridCol w:w="208"/>
        <w:gridCol w:w="812"/>
        <w:gridCol w:w="115"/>
        <w:gridCol w:w="109"/>
        <w:gridCol w:w="109"/>
        <w:gridCol w:w="109"/>
        <w:gridCol w:w="196"/>
        <w:gridCol w:w="736"/>
        <w:gridCol w:w="160"/>
      </w:tblGrid>
      <w:tr>
        <w:trPr/>
        <w:tc>
          <w:tcPr>
            <w:tcW w:w="7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155,928 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971,416 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(725,238)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188,762 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(32,910)</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975,161 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(19,428)</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(773,386)</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183,906 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6"/>
        <w:gridCol w:w="334"/>
        <w:gridCol w:w="337"/>
        <w:gridCol w:w="109"/>
        <w:gridCol w:w="109"/>
        <w:gridCol w:w="109"/>
        <w:gridCol w:w="368"/>
        <w:gridCol w:w="368"/>
        <w:gridCol w:w="231"/>
        <w:gridCol w:w="109"/>
        <w:gridCol w:w="109"/>
        <w:gridCol w:w="109"/>
        <w:gridCol w:w="196"/>
        <w:gridCol w:w="556"/>
        <w:gridCol w:w="109"/>
        <w:gridCol w:w="109"/>
        <w:gridCol w:w="109"/>
        <w:gridCol w:w="109"/>
        <w:gridCol w:w="206"/>
        <w:gridCol w:w="917"/>
        <w:gridCol w:w="114"/>
        <w:gridCol w:w="109"/>
        <w:gridCol w:w="109"/>
        <w:gridCol w:w="109"/>
        <w:gridCol w:w="283"/>
        <w:gridCol w:w="959"/>
        <w:gridCol w:w="159"/>
        <w:gridCol w:w="109"/>
        <w:gridCol w:w="109"/>
        <w:gridCol w:w="109"/>
        <w:gridCol w:w="199"/>
        <w:gridCol w:w="908"/>
        <w:gridCol w:w="111"/>
        <w:gridCol w:w="109"/>
        <w:gridCol w:w="109"/>
        <w:gridCol w:w="109"/>
        <w:gridCol w:w="196"/>
        <w:gridCol w:w="736"/>
        <w:gridCol w:w="160"/>
      </w:tblGrid>
      <w:tr>
        <w:trPr/>
        <w:tc>
          <w:tcPr>
            <w:tcW w:w="7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266,267 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1,358,992 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250,370 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Penny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to Trina for anti-dilution right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warrants from liability classified to equity 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Preferred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279,037 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1,358,278 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(1,113,491)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under share-based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on 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warrants from liability classified to equity classified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280,604 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1,371,216 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(15,216)</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(1,157,027)</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201,779 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hanging="0"/>
        <w:jc w:val="center"/>
        <w:rPr>
          <w:color w:val="000000"/>
        </w:rPr>
      </w:pPr>
      <w:r>
        <w:rPr>
          <w:color w:val="000000"/>
        </w:rPr>
        <w:t> </w:t>
      </w:r>
    </w:p>
    <w:p>
      <w:pPr>
        <w:pStyle w:val="TextBody"/>
        <w:bidi w:val="0"/>
        <w:spacing w:before="0" w:after="18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97230"/>
                <wp:effectExtent l="0" t="0" r="0" b="0"/>
                <wp:wrapNone/>
                <wp:docPr id="8" name="Frame7"/>
                <a:graphic xmlns:a="http://schemas.openxmlformats.org/drawingml/2006/main">
                  <a:graphicData uri="http://schemas.microsoft.com/office/word/2010/wordprocessingShape">
                    <wps:wsp>
                      <wps:cNvSpPr txBox="1"/>
                      <wps:spPr>
                        <a:xfrm>
                          <a:off x="0" y="0"/>
                          <a:ext cx="6480175" cy="697230"/>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ind w:left="0" w:right="0" w:firstLine="720"/>
        <w:jc w:val="center"/>
        <w:rPr/>
      </w:pPr>
      <w:r>
        <w:rPr>
          <w:rFonts w:ascii="Times New Roman;serif" w:hAnsi="Times New Roman;serif"/>
          <w:b/>
          <w:color w:val="000000"/>
          <w:sz w:val="20"/>
        </w:rPr>
        <w:t>CONDENSED CONSOLIDATED STATEMENTS OF CASH FLOWS</w:t>
      </w:r>
      <w:r>
        <w:rPr>
          <w:color w:val="000000"/>
        </w:rPr>
        <w:t> </w:t>
      </w:r>
    </w:p>
    <w:p>
      <w:pPr>
        <w:pStyle w:val="TextBody"/>
        <w:bidi w:val="0"/>
        <w:spacing w:lineRule="auto" w:line="240" w:before="0" w:after="0"/>
        <w:ind w:left="0" w:right="0" w:firstLine="72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tbl>
      <w:tblPr>
        <w:tblW w:w="9156" w:type="dxa"/>
        <w:jc w:val="center"/>
        <w:tblInd w:w="0" w:type="dxa"/>
        <w:tblLayout w:type="fixed"/>
        <w:tblCellMar>
          <w:top w:w="28" w:type="dxa"/>
          <w:left w:w="28" w:type="dxa"/>
          <w:bottom w:w="28" w:type="dxa"/>
          <w:right w:w="28" w:type="dxa"/>
        </w:tblCellMar>
      </w:tblPr>
      <w:tblGrid>
        <w:gridCol w:w="2315"/>
        <w:gridCol w:w="2030"/>
        <w:gridCol w:w="2045"/>
        <w:gridCol w:w="109"/>
        <w:gridCol w:w="109"/>
        <w:gridCol w:w="109"/>
        <w:gridCol w:w="196"/>
        <w:gridCol w:w="736"/>
        <w:gridCol w:w="109"/>
        <w:gridCol w:w="109"/>
        <w:gridCol w:w="109"/>
        <w:gridCol w:w="109"/>
        <w:gridCol w:w="196"/>
        <w:gridCol w:w="721"/>
        <w:gridCol w:w="154"/>
      </w:tblGrid>
      <w:tr>
        <w:trPr/>
        <w:tc>
          <w:tcPr>
            <w:tcW w:w="231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Impairment of assets previously classified as held for sale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premium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operating assets and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suppliers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return of property and equipment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Senior 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Notes, net of underwriting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Penny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equity repurchases for equity-based compensation tax withholding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foreign exchange rates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to condensed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97230"/>
                <wp:effectExtent l="0" t="0" r="0" b="0"/>
                <wp:wrapNone/>
                <wp:docPr id="9" name="Frame8"/>
                <a:graphic xmlns:a="http://schemas.openxmlformats.org/drawingml/2006/main">
                  <a:graphicData uri="http://schemas.microsoft.com/office/word/2010/wordprocessingShape">
                    <wps:wsp>
                      <wps:cNvSpPr txBox="1"/>
                      <wps:spPr>
                        <a:xfrm>
                          <a:off x="0" y="0"/>
                          <a:ext cx="6480175" cy="697230"/>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val="false"/>
          <w:color w:val="000000"/>
          <w:sz w:val="20"/>
        </w:rPr>
        <w:t>1</w:t>
      </w:r>
      <w:r>
        <w:rPr>
          <w:rFonts w:ascii="Times New Roman;serif" w:hAnsi="Times New Roman;serif"/>
          <w:b/>
          <w:color w:val="000000"/>
          <w:sz w:val="20"/>
        </w:rPr>
        <w:t>. SUMMARY OF SIGNIFICANT ACCOUNTING POLICIES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Description of the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(“T1”, the “Company”, “we”, or “us”) is an energy solutions provider building an integrated U.S. solar supply chain for solar modules and cells. We manufacture and sell photovoltaic (“PV”) solar modules in the United States.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in the first quarter of 2027 of high-efficiency TOPCon solar cells that will be used in the PV solar modules manufactured at G1_Dallas.</w:t>
      </w:r>
    </w:p>
    <w:p>
      <w:pPr>
        <w:pStyle w:val="TextBody"/>
        <w:bidi w:val="0"/>
        <w:spacing w:lineRule="auto" w:line="240"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Basis of Presentation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interim financial statements have been prepared in conformity with the accounting principles generally accepted in the U.S. (“U.S. GAAP”) for interim financial information and with the instructions to Form 10-Q and Article 10 of U.S. Securities and Exchange Commission (“SEC”) Regulation S-X. Accordingly, these financial statements do not include all of the information required by U.S. GAAP for complete consolidated financial statements.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interim financial statements have been prepared on the same basis as the audited annual consolidated financial statements for the year ended December 31, 2025 and, in management’s opinion, include all adjustments, consisting of only normal recurring adjustments necessary for the fair statement of our unaudited condensed consolidated financial statements for the periods presented. The results of operations for the three and six months ended June 30, 2026, are not necessarily indicative of the results to be expected for the full year ending December 31, 2026. Our unaudited condensed consolidated balance sheet as of December 31, 2025, was derived from the audited consolidated financial statements as of December 31, 2025. However, these unaudited condensed consolidated interim financial statements do not contain all of the footnote disclosures required in annual consolidated financial statements. These unaudited condensed consolidated interim financial statements should be read in conjunction with the audited consolidated financial statements and the related notes included in the Company’s Annual Report on Form 10-K for the year ended December 31, 2025 filed with the SEC on March 31, 2026, as amended and supplemented by Amendment No. 1 on Form 10-K/A filed with the SEC on April 30, 2026.</w:t>
      </w:r>
    </w:p>
    <w:p>
      <w:pPr>
        <w:pStyle w:val="TextBody"/>
        <w:bidi w:val="0"/>
        <w:spacing w:before="0" w:after="0"/>
        <w:ind w:left="0" w:right="0" w:firstLine="720"/>
        <w:jc w:val="both"/>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include the accounts of T1, its wholly owned subsidiaries and majority-owned subsidiaries. All intercompany accounts and transactions have been eliminated. Certain prior period balances and amounts have been reclassified to conform with the current year’s presentation in our unaudited condensed consolidated financial statements and the accompanying notes.</w:t>
      </w:r>
    </w:p>
    <w:p>
      <w:pPr>
        <w:pStyle w:val="TextBody"/>
        <w:bidi w:val="0"/>
        <w:spacing w:lineRule="auto" w:line="240"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Assets Held for Sale and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the criteria for classification as held for sale. There were no reclassifications as of and for the three and six months ended June 30, 2026.</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reclassification, these assets were measured at the lower of (i) their carrying amount prior to classification as held for sale, adjusted for depreciation, amortization and impairment that would have been recognized had the assets remained classified as held and used, or (ii) their fair value at the date of the reclassification.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this assessment, the carrying amounts of the assets and liabilities for the European businesses that were reclassified from discontinued operations to held and used were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720"/>
        <w:jc w:val="left"/>
        <w:rPr/>
      </w:pPr>
      <w:r>
        <w:rPr/>
      </w:r>
    </w:p>
    <w:tbl>
      <w:tblPr>
        <w:tblW w:w="5532" w:type="dxa"/>
        <w:jc w:val="left"/>
        <w:tblInd w:w="0" w:type="dxa"/>
        <w:tblLayout w:type="fixed"/>
        <w:tblCellMar>
          <w:top w:w="28" w:type="dxa"/>
          <w:left w:w="28" w:type="dxa"/>
          <w:bottom w:w="28" w:type="dxa"/>
          <w:right w:w="28" w:type="dxa"/>
        </w:tblCellMar>
      </w:tblPr>
      <w:tblGrid>
        <w:gridCol w:w="1239"/>
        <w:gridCol w:w="1093"/>
        <w:gridCol w:w="1103"/>
        <w:gridCol w:w="109"/>
        <w:gridCol w:w="109"/>
        <w:gridCol w:w="109"/>
        <w:gridCol w:w="344"/>
        <w:gridCol w:w="1175"/>
        <w:gridCol w:w="251"/>
      </w:tblGrid>
      <w:tr>
        <w:trPr/>
        <w:tc>
          <w:tcPr>
            <w:tcW w:w="123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European businesses that were reclassified from discontinued operations to continuing operations were as follows (in thousands): </w:t>
      </w:r>
    </w:p>
    <w:tbl>
      <w:tblPr>
        <w:tblW w:w="10205" w:type="dxa"/>
        <w:jc w:val="left"/>
        <w:tblInd w:w="0" w:type="dxa"/>
        <w:tblLayout w:type="fixed"/>
        <w:tblCellMar>
          <w:top w:w="28" w:type="dxa"/>
          <w:left w:w="28" w:type="dxa"/>
          <w:bottom w:w="28" w:type="dxa"/>
          <w:right w:w="28" w:type="dxa"/>
        </w:tblCellMar>
      </w:tblPr>
      <w:tblGrid>
        <w:gridCol w:w="1610"/>
        <w:gridCol w:w="1396"/>
        <w:gridCol w:w="1400"/>
        <w:gridCol w:w="754"/>
        <w:gridCol w:w="1668"/>
        <w:gridCol w:w="390"/>
        <w:gridCol w:w="109"/>
        <w:gridCol w:w="109"/>
        <w:gridCol w:w="109"/>
        <w:gridCol w:w="531"/>
        <w:gridCol w:w="1737"/>
        <w:gridCol w:w="392"/>
      </w:tblGrid>
      <w:tr>
        <w:trPr/>
        <w:tc>
          <w:tcPr>
            <w:tcW w:w="161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406" w:type="dxa"/>
            <w:gridSpan w:val="3"/>
            <w:tcBorders/>
            <w:vAlign w:val="center"/>
          </w:tcPr>
          <w:p>
            <w:pPr>
              <w:pStyle w:val="TableContents"/>
              <w:bidi w:val="0"/>
              <w:spacing w:before="0" w:after="283"/>
              <w:jc w:val="left"/>
              <w:rPr>
                <w:sz w:val="4"/>
                <w:szCs w:val="4"/>
              </w:rPr>
            </w:pPr>
            <w:r>
              <w:rPr>
                <w:sz w:val="4"/>
                <w:szCs w:val="4"/>
              </w:rPr>
            </w:r>
          </w:p>
        </w:tc>
        <w:tc>
          <w:tcPr>
            <w:tcW w:w="2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0" w:type="dxa"/>
            <w:gridSpan w:val="3"/>
            <w:tcBorders/>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2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assets previously classified as held for sale</w:t>
            </w:r>
          </w:p>
        </w:tc>
        <w:tc>
          <w:tcPr>
            <w:tcW w:w="2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2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income</w:t>
            </w:r>
          </w:p>
        </w:tc>
        <w:tc>
          <w:tcPr>
            <w:tcW w:w="2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Estimates</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 xml:space="preserve">The preparation of unaudited condensed consolidated financial statements in accordance with U.S. GAAP requires management to make estimates and assumptions that affect the amounts reported in the unaudited condensed consolidated financial statements and accompanying notes. </w:t>
      </w:r>
      <w:r>
        <w:rPr>
          <w:rFonts w:ascii="Times New Roman;serif" w:hAnsi="Times New Roman;serif"/>
          <w:b w:val="false"/>
          <w:color w:val="000000"/>
          <w:sz w:val="20"/>
        </w:rPr>
        <w:t>Estimates and assumptions include, but are not limited to, estimates related to the fair value less costs to sell for assets held for sale, impairment of long-lived assets, purchase price allocation adjustments, the valuation of warrant liabilities, anti-dilution right and share-based compensation. We base these estimates on historical experiences and on various other assumptions that we believe are reasonable under the circumstances, however, actual results may differ materially from these estimates. </w:t>
      </w:r>
    </w:p>
    <w:p>
      <w:pPr>
        <w:pStyle w:val="TextBody"/>
        <w:bidi w:val="0"/>
        <w:spacing w:lineRule="auto" w:line="240"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and Uncertainties</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We</w:t>
      </w:r>
      <w:r>
        <w:rPr>
          <w:color w:val="000000"/>
        </w:rPr>
        <w:t xml:space="preserve"> </w:t>
      </w:r>
      <w:r>
        <w:rPr>
          <w:rFonts w:ascii="Times New Roman;serif" w:hAnsi="Times New Roman;serif"/>
          <w:b w:val="false"/>
          <w:color w:val="000000"/>
          <w:sz w:val="20"/>
        </w:rPr>
        <w:t>are subject to those risks common to our business and industry and also those risks common to early-stage development companies. These risks include those disclosed in Part I, Item 1A, "”Risk Factors” in our Annual Report on Form 10-K for the year ended December 31, 2025 filed with the SEC on March 31, 2026, as amended and supplemented by Amendment No. 1 on Form 10-K/A filed with the SEC on April 30, 2026, as well as the risks described in Part II, Item 1A, “Risk Factors” in our Quarterly Report on Form 10-Q for the quarterly period ended March 31, 2026 filed with the SEC on May 12, 2026 and the risk factors included in this Quarterly Report on Form 10-Q.</w:t>
      </w:r>
    </w:p>
    <w:p>
      <w:pPr>
        <w:pStyle w:val="TextBody"/>
        <w:bidi w:val="0"/>
        <w:spacing w:lineRule="auto" w:line="240" w:before="0" w:after="180"/>
        <w:ind w:left="0" w:right="0" w:firstLine="720"/>
        <w:jc w:val="left"/>
        <w:rPr/>
      </w:pPr>
      <w:r>
        <w:rPr>
          <w:rFonts w:ascii="Times New Roman;serif" w:hAnsi="Times New Roman;serif"/>
          <w:b w:val="false"/>
          <w:color w:val="000000"/>
          <w:sz w:val="20"/>
          <w:shd w:fill="FFFFFF" w:val="clear"/>
        </w:rPr>
        <w:t>These unaudited condensed consolidated financial statements have been prepared by management in accordance with U.S. GAAP and this basis assumes that we will continue as a going concern, which</w:t>
      </w:r>
      <w:r>
        <w:rPr>
          <w:color w:val="000000"/>
        </w:rPr>
        <w:t xml:space="preserve"> </w:t>
      </w:r>
      <w:r>
        <w:rPr>
          <w:rFonts w:ascii="Times New Roman;serif" w:hAnsi="Times New Roman;serif"/>
          <w:b w:val="false"/>
          <w:color w:val="000000"/>
          <w:sz w:val="20"/>
        </w:rPr>
        <w:t>contemplates the realization of assets and the satisfaction of liabilities and commitments in the normal course of business. As of the date of this Report, we believe that our existing cash resources, which were primarily provided by operations and offerings of debt and equity securities, are sufficient to support our planned operations for at least the next 12 months from the date of issuance of these financial statements. Therefore, our financial statements have been prepared on the basis that we will continue as a 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Concentration of Risks</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One customer accounted for approximately 100% of our total net sales for the six months ended June 30, 2026 and two customers accounted for approximately 64% and 35%, respectively, of our total net sales for the six months ended June 30, 2025. One customer accounted for 100% of our aggregate trade accounts receivable, net as of June 30, 2026 and December 31, 2025. We are substantially dependent on a single customer, and the loss of this significant customer could have a material adverse effect on the Company’s results of operations and financial condition. </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of our key raw materials, components, and manufacturing equipment are sourced from highly specialized suppliers. The failure of any key supplier to perform could disrupt our supply chain and impair our ability to deliver PV solar modules to customers in the required quality, quantities, and pricing, which could adversely affect our results of operations.</w:t>
      </w:r>
    </w:p>
    <w:p>
      <w:pPr>
        <w:pStyle w:val="TextBody"/>
        <w:bidi w:val="0"/>
        <w:spacing w:lineRule="auto" w:line="240" w:before="0" w:after="180"/>
        <w:jc w:val="both"/>
        <w:rPr/>
      </w:pPr>
      <w:r>
        <w:rPr>
          <w:rFonts w:ascii="Times New Roman;serif" w:hAnsi="Times New Roman;serif"/>
          <w:b w:val="false"/>
          <w:i/>
          <w:color w:val="000000"/>
          <w:sz w:val="20"/>
        </w:rPr>
        <w:t>Production Concentration Risk</w:t>
      </w:r>
      <w:r>
        <w:rPr>
          <w:color w:val="000000"/>
        </w:rPr>
        <w:t xml:space="preserv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PV solar modules are currently produced at a single facility in the United States. Shortages of essential components or equipment due to increased demand, supply interruptions, or limited logistics availability could adversely affect our ability to meet customer demand. Damage to, or disruption of, this facility could interrupt operations and negatively impact our ability to generate net sales.</w:t>
      </w:r>
    </w:p>
    <w:p>
      <w:pPr>
        <w:pStyle w:val="TextBody"/>
        <w:bidi w:val="0"/>
        <w:spacing w:lineRule="auto" w:line="240"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Concentrations of Credit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are potentially subject to credit risk consist of cash and cash equivalents and restricted cash. Our cash and cash equivalents and restricted cash are placed with major financial institutions. We have not experienced any credit loss related to our cash and cash equivalents and restricted cash.</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 activity consisted of the following (in thousands):</w:t>
      </w:r>
    </w:p>
    <w:tbl>
      <w:tblPr>
        <w:tblW w:w="8573" w:type="dxa"/>
        <w:jc w:val="left"/>
        <w:tblInd w:w="0" w:type="dxa"/>
        <w:tblLayout w:type="fixed"/>
        <w:tblCellMar>
          <w:top w:w="28" w:type="dxa"/>
          <w:left w:w="28" w:type="dxa"/>
          <w:bottom w:w="28" w:type="dxa"/>
          <w:right w:w="28" w:type="dxa"/>
        </w:tblCellMar>
      </w:tblPr>
      <w:tblGrid>
        <w:gridCol w:w="2126"/>
        <w:gridCol w:w="1871"/>
        <w:gridCol w:w="1883"/>
        <w:gridCol w:w="109"/>
        <w:gridCol w:w="109"/>
        <w:gridCol w:w="109"/>
        <w:gridCol w:w="222"/>
        <w:gridCol w:w="650"/>
        <w:gridCol w:w="115"/>
        <w:gridCol w:w="115"/>
        <w:gridCol w:w="115"/>
        <w:gridCol w:w="115"/>
        <w:gridCol w:w="222"/>
        <w:gridCol w:w="650"/>
        <w:gridCol w:w="162"/>
      </w:tblGrid>
      <w:tr>
        <w:trPr/>
        <w:tc>
          <w:tcPr>
            <w:tcW w:w="212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payments included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warrants from liability classified to equity classified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Allowance for Credit Losses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recorded an allowance for credit losses of $5.6 million and $5.6 million, respectively, related to trade accounts receivable.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and 2025, we recognized revenue related to deliveries of PV solar modules of $52.2 million and $40.2 million, respectively, that was included in deferred revenue as of the beginning of the period.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Revenue Recognition – PV Solar Module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Substantially all of our revenues are from sales in the United States. As of June 30, 2026, we had entered into contracts with customers for the future sale of 5.4 gigawatts of PV solar modules. We expect to recognize sales of 1.5 gigawatts of PV solar modules during the remainder of 2026, 1.3 gigawatts during the year ended December 31, 2027, and 2.6 gigawatts thereafter through 2029, as we transfer control of the PV solar modules to the customer. These contracts are generally priced on a per-watt basis, subject to true-up adjustments, and require prepayment of 50% of the forecasted purchase price prior to the start of each quarter, with the remaining 50% due under customary 30-day payment terms upon transfer of control. These contracts may also be subject to amendments as agreed to by the parties to the contracts which may increase or decrease the volume of the PV solar modules or change delivery schedules.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Equity Investments Without Readily Determinable Fair Values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a Simple Agreement for Future Equity (“SAFE”) with a privately held company, Talon PV, LLC (the “Issuer”). Under the terms of the SAFE, the Company provided $5.0 million in cash in exchange for the right to receive equity in the Issuer upon the occurrence of certain future events, including a qualified equity financing, liquidity event, or dissolution event. The Company evaluated the terms of the SAFE, and concluded the SAFE represents an equity interest in a privately held entity without a readily determinable fair value. As of June 30, 2026 and December 31, 2025, no observable price changes or impairment indicators were identified. Accordingly, the carrying value of the SAFE investment was $5.0 million as of both June 30, 2026 and December 31, 2025, which is included in other assets on our unaudited condensed consolidated balance sheets.</w:t>
      </w:r>
    </w:p>
    <w:p>
      <w:pPr>
        <w:pStyle w:val="TextBody"/>
        <w:bidi w:val="0"/>
        <w:spacing w:before="0" w:after="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Interest Rate Swaps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certain interest rate swap agreements to manage exposure to variability in cash flows arising from changes in interest rates on its variable</w:t>
        <w:noBreakHyphen/>
        <w:t>rate debt obligations. These instruments are accounted for as derivative assets or liabilities in accordance with Accounting Standards Codification (“ASC”) 815 and recorded in the consolidated balance sheets at fair value, with changes in fair value recognized in earnings. The fair value of the interest rate swaps reflects a $0.8 million and $1.5 million unrealized gain for the three and six months ended June 30, 2026, respectively, and a $0.5 million and $0.6 million realized gain for the three and six months ended June 30, 2025, respectively, which is recognized in other income, net in the unaudited condensed consolidated statements of operations and comprehensive loss.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Adoption of Accounting Pronouncements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Accounting Standards Update (“ASU”) 2024-04, Debt—Debt with Conversion and Other Options. This standard provides guidance on the accounting treatment for induced conversions of convertible debt. Companies must recognize and measure the impact of incentives offered to induce early conversion of convertible debt separately from existing debt liability. For public business entities, the ASU is effective for fiscal years beginning after December 15, 2025, with early adoption permitted. We adopted this standard on January 1, 2026 and determined there was no impact on our unaudited condensed consolidated financial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to address challenges encountered when applying the guidance in Topic 326 to current accounts receivable and current contract assets arising from transactions accounted for under Topic 606. This standard introduces a practical expedient for entities that assumes that current conditions as of the balance sheet date do not change for the remaining life of the asset. This standard is effective for annual periods, including interim reporting periods within annual reporting periods, beginning after December 15, 2025, with early adoption permitted. We adopted this standard on January 1, 2026 and determined there was no impact on our unaudited condensed consolidated financial statements.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Future Adoption of New Accounting Pronouncements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This standard only modifies disclosure requirements; as such, we do not expect the adoption of this standard to result in a material impact on our consolidated statements of operations and comprehensive loss, balance sheet or cash flows. We are currently evaluating the effect of the adoption of this standard on our unaudited condensed consolidated financial statements and related disclosures.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to establish guidance on the recognition, measurement, and presentation of government grants received by business entities, which largely codifies our current approach to accounting for such grants. ASU 2025-10 is effective for public companies for annual reporting periods beginning after December 15, 2028 and interim reporting periods within those annual reporting periods. Early adoption is permitted. The guidance can be applied on a modified prospective basis, a modified retrospective basis, or a full retrospective basis. We are currently evaluating these options. We are currently evaluating the effect of the adoption of this standard on our unaudited condensed consolidated financial statements and related disclosures and do not expect this ASU to have a material impact.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on a prospective or a retrospective approach. Early adoption is permitted. We are currently evaluating the effect of the adoption of this standard on our unaudited condensed consolidated financial statements and related disclosures and do not expect this ASU to have a material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which includes various narrow amendments to clarify guidance, correct inconsistencies, and enhance the overall usability of the FASB Accounting Standards Codification (“ASC”). The amendments span multiple Topics, including earnings per share, leases, beneficial interests, transfers and servicing, and equity transactions, among others. The standard does not introduce new accounting models and is not expected to result in significant changes to current accounting practices for most entities. ASU 2025</w:t>
        <w:noBreakHyphen/>
        <w:t>12 is effective for fiscal years beginning after December 15, 2026, including interim periods within those fiscal years. Amendments related to earnings per share must be applied retrospectively, while all other amendments may be applied either prospectively or retrospectively. Early adoption is permitted. We are currently evaluating the effect of the adoption of this standard on our unaudited condensed consolidated financial statements and related disclosures.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 Credits and Environment Credit Obligations (Topic 818), which establishes guidance on the recognition, measurement, presentation and disclosure requirements for environmental credits and related obligations. ASU 2026-02 is effective for annual periods beginning after December 15, 2027, and early adoption is permitted. The guidance requires adoption on a retrospective basis through a cumulative-effect adjustment to the opening balance of retained earnings. We are currently evaluating the effect of the adoption of this standard on our unaudited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2</w:t>
      </w:r>
      <w:r>
        <w:rPr>
          <w:rFonts w:ascii="Times New Roman;serif" w:hAnsi="Times New Roman;serif"/>
          <w:b/>
          <w:color w:val="000000"/>
          <w:sz w:val="20"/>
          <w:shd w:fill="FFFFFF" w:val="clear"/>
        </w:rPr>
        <w:t xml:space="preserve">. </w:t>
      </w:r>
      <w:r>
        <w:rPr>
          <w:rFonts w:ascii="Times New Roman;serif" w:hAnsi="Times New Roman;serif"/>
          <w:b/>
          <w:color w:val="000000"/>
          <w:sz w:val="20"/>
        </w:rPr>
        <w:t>INVENTORY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6621" w:type="dxa"/>
        <w:jc w:val="left"/>
        <w:tblInd w:w="0" w:type="dxa"/>
        <w:tblLayout w:type="fixed"/>
        <w:tblCellMar>
          <w:top w:w="28" w:type="dxa"/>
          <w:left w:w="28" w:type="dxa"/>
          <w:bottom w:w="28" w:type="dxa"/>
          <w:right w:w="28" w:type="dxa"/>
        </w:tblCellMar>
      </w:tblPr>
      <w:tblGrid>
        <w:gridCol w:w="1059"/>
        <w:gridCol w:w="929"/>
        <w:gridCol w:w="936"/>
        <w:gridCol w:w="109"/>
        <w:gridCol w:w="109"/>
        <w:gridCol w:w="109"/>
        <w:gridCol w:w="234"/>
        <w:gridCol w:w="919"/>
        <w:gridCol w:w="121"/>
        <w:gridCol w:w="109"/>
        <w:gridCol w:w="109"/>
        <w:gridCol w:w="109"/>
        <w:gridCol w:w="313"/>
        <w:gridCol w:w="1228"/>
        <w:gridCol w:w="228"/>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114,667 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PV solar modules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116,043 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3. PROPERTY AND EQUIPMENT, NET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426"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234"/>
        <w:gridCol w:w="919"/>
        <w:gridCol w:w="121"/>
        <w:gridCol w:w="109"/>
        <w:gridCol w:w="109"/>
        <w:gridCol w:w="109"/>
        <w:gridCol w:w="313"/>
        <w:gridCol w:w="1228"/>
        <w:gridCol w:w="22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430,416 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302,302 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$13.6 million and $14.9 million for the three months ended June 30, 2026 and 2025, respectively, and $27.4 million and $18.4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4. INTANGIBLE ASSETS, NET</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(in thousands):</w:t>
      </w:r>
    </w:p>
    <w:tbl>
      <w:tblPr>
        <w:tblW w:w="4436" w:type="dxa"/>
        <w:jc w:val="left"/>
        <w:tblInd w:w="0" w:type="dxa"/>
        <w:tblLayout w:type="fixed"/>
        <w:tblCellMar>
          <w:top w:w="28" w:type="dxa"/>
          <w:left w:w="28" w:type="dxa"/>
          <w:bottom w:w="28" w:type="dxa"/>
          <w:right w:w="28" w:type="dxa"/>
        </w:tblCellMar>
      </w:tblPr>
      <w:tblGrid>
        <w:gridCol w:w="837"/>
        <w:gridCol w:w="733"/>
        <w:gridCol w:w="739"/>
        <w:gridCol w:w="109"/>
        <w:gridCol w:w="109"/>
        <w:gridCol w:w="109"/>
        <w:gridCol w:w="319"/>
        <w:gridCol w:w="1249"/>
        <w:gridCol w:w="232"/>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 contracts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180,481 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157,781 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is estimated to be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720"/>
        <w:jc w:val="left"/>
        <w:rPr/>
      </w:pPr>
      <w:r>
        <w:rPr/>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5. ACCRUED LIABILITIES AND OTHER</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consisted of the following (in thousands):</w:t>
      </w:r>
    </w:p>
    <w:tbl>
      <w:tblPr>
        <w:tblW w:w="7477" w:type="dxa"/>
        <w:jc w:val="left"/>
        <w:tblInd w:w="0" w:type="dxa"/>
        <w:tblLayout w:type="fixed"/>
        <w:tblCellMar>
          <w:top w:w="28" w:type="dxa"/>
          <w:left w:w="28" w:type="dxa"/>
          <w:bottom w:w="28" w:type="dxa"/>
          <w:right w:w="28" w:type="dxa"/>
        </w:tblCellMar>
      </w:tblPr>
      <w:tblGrid>
        <w:gridCol w:w="1370"/>
        <w:gridCol w:w="1201"/>
        <w:gridCol w:w="1208"/>
        <w:gridCol w:w="109"/>
        <w:gridCol w:w="109"/>
        <w:gridCol w:w="109"/>
        <w:gridCol w:w="258"/>
        <w:gridCol w:w="883"/>
        <w:gridCol w:w="133"/>
        <w:gridCol w:w="109"/>
        <w:gridCol w:w="109"/>
        <w:gridCol w:w="109"/>
        <w:gridCol w:w="344"/>
        <w:gridCol w:w="1175"/>
        <w:gridCol w:w="251"/>
      </w:tblGrid>
      <w:tr>
        <w:trPr/>
        <w:tc>
          <w:tcPr>
            <w:tcW w:w="13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payroll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47,224 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debt arrangements consisted of the following (in thousands):</w:t>
      </w:r>
    </w:p>
    <w:tbl>
      <w:tblPr>
        <w:tblW w:w="8097" w:type="dxa"/>
        <w:jc w:val="left"/>
        <w:tblInd w:w="0" w:type="dxa"/>
        <w:tblLayout w:type="fixed"/>
        <w:tblCellMar>
          <w:top w:w="28" w:type="dxa"/>
          <w:left w:w="28" w:type="dxa"/>
          <w:bottom w:w="28" w:type="dxa"/>
          <w:right w:w="28" w:type="dxa"/>
        </w:tblCellMar>
      </w:tblPr>
      <w:tblGrid>
        <w:gridCol w:w="1555"/>
        <w:gridCol w:w="1363"/>
        <w:gridCol w:w="1372"/>
        <w:gridCol w:w="109"/>
        <w:gridCol w:w="109"/>
        <w:gridCol w:w="109"/>
        <w:gridCol w:w="234"/>
        <w:gridCol w:w="919"/>
        <w:gridCol w:w="121"/>
        <w:gridCol w:w="109"/>
        <w:gridCol w:w="109"/>
        <w:gridCol w:w="109"/>
        <w:gridCol w:w="317"/>
        <w:gridCol w:w="1244"/>
        <w:gridCol w:w="164"/>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Production Reservation Fee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Convertible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Convertible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Production Reservation Fee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23, 2024 ,we completed the transactions contemplated under a transaction agreement with Trina Solar (Schweiz) AG (“Trina Solar,” and such agreement, the “Transaction Agreement”) for the acquisition of all legal and beneficial ownership in the shares of capital stock of Trina Solar US Holding Inc. (the “Trina Business Combination”). In connection with the Trina Business Combination, we assumed a debt obligation to Trina Solar (U.S.) (“TUS”), a related party, with a principal amount of $220.0 million (the “Production Reservation Fee”). The principal on the debt is payable in annual installments of $44.0 million that commenced on the first anniversary of the closing of the Trina Business Combination with a December 23, 2029 maturity date. On December 29, 2025, $155.0 million of the Production Reservation Fee was satisfied through a prepayment of future annual installments, leaving $65.0 million of the Production Reservation Fee remaining outstanding. Provided that the Company makes all scheduled installment payments, the debt will bear no interest. However, if the Company fails to make an installment payment, both parties shall negotiate a revised payment schedule in good faith, and any unpaid installment balance will accrue interest at a rate of 6.0% per annum.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Senior Secured Credit Facility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we assumed a $235.0 million senior secured credit agreement governing our senior secured credit facility (the “Senior Secured Credit Facility”) with a consortium of banks, with HSBC Bank USA, N.A. serving as the administrative agent (as amended, the “Credit Agreement”). The Credit Agreement is dedicated to financing the development, construction, and operation of G1_Dallas, as well as funding-related fees and expenses. The Credit Agreement matures on December 31,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are secured by substantially all of our project-related assets associated with our G1_Dallas facility. Interest on amounts drawn accrues at our option of either (i) a base rate (as defined in the Credit Agreement) plus a margin of 3.5% or (ii) the Secured Overnight Financing Rate (“SOFR”) plus a margin of 2.5%.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Senior Secured Credit Facility, we entered into interest rate swap agreements with certain financial institutions to manage exposure to variability in interest rates associated with the variable-rate borrowings. These swap agreements effectively convert a portion of our variable-rate debt obligations to fixed interest rates over the term of the agreements. Under the terms of the swap agreements, we exchange variable-rate interest payments based on the applicable benchmark rate under the Senior Secured Credit Facility for fixed-rate interest payments with the respective counterparties. The objective of these agreements is to reduce the impact of fluctuations in market interest rates on the interest expense. The interest rate swap agreements have maturities that correspond with the underlying debt and are subject to customary terms and conditions with the counterparties.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prepay outstanding amounts in whole or in part at any time, subject to certain customary conditions. The Credit Agreement requires us to comply with specified financial and non-financial covenants including a debt service ratio. We were in compliance with the financial and non-financial covenants in the Credit Agreement through the date of this Report.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5.25% Convertible Senior Notes due 2030</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On December 16, 2025</w:t>
      </w:r>
      <w:r>
        <w:rPr>
          <w:rFonts w:ascii="Times New Roman;serif" w:hAnsi="Times New Roman;serif"/>
          <w:b w:val="false"/>
          <w:color w:val="000000"/>
          <w:sz w:val="20"/>
        </w:rPr>
        <w:t xml:space="preserve">, the Company completed a public offering of $161.0 million aggregate principal amount of the Company’s 5.25% Convertible Senior Notes due 2030 (the “5.25% Convertible Notes due 2030”) at a public offering price of 100% of the principal amount thereof. The 5.25% Convertible Notes due 2030 are senior unsecured obligations of the Company and bear interest at a rate of 5.25% per annum from and including December 16, 2025, payable semi-annually in arrears on June 1 and December 1 of each year. The 5.25% Convertible Notes due 2030 will mature on December 1, 2030, unless earlier repurchased, redeemed or converted.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Before </w:t>
      </w:r>
      <w:r>
        <w:rPr>
          <w:rFonts w:ascii="Times New Roman;serif" w:hAnsi="Times New Roman;serif"/>
          <w:b w:val="false"/>
          <w:color w:val="000000"/>
          <w:sz w:val="20"/>
          <w:shd w:fill="FFFFFF" w:val="clear"/>
        </w:rPr>
        <w:t>September 1, 2030</w:t>
      </w:r>
      <w:r>
        <w:rPr>
          <w:rFonts w:ascii="Times New Roman;serif" w:hAnsi="Times New Roman;serif"/>
          <w:b w:val="false"/>
          <w:color w:val="000000"/>
          <w:sz w:val="20"/>
        </w:rPr>
        <w:t xml:space="preserve">, holders may convert their 5.25% Convertible Notes due 2030 at their option only in certain circumstances. From and after </w:t>
      </w:r>
      <w:r>
        <w:rPr>
          <w:rFonts w:ascii="Times New Roman;serif" w:hAnsi="Times New Roman;serif"/>
          <w:b w:val="false"/>
          <w:color w:val="000000"/>
          <w:sz w:val="20"/>
          <w:shd w:fill="FFFFFF" w:val="clear"/>
        </w:rPr>
        <w:t>September 1, 2030</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holders may convert their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at their option until the close of business on the business day immediately preceding the maturity date. The Company will settle</w:t>
      </w:r>
      <w:r>
        <w:rPr>
          <w:color w:val="000000"/>
        </w:rPr>
        <w:t xml:space="preserve"> </w:t>
      </w:r>
      <w:r>
        <w:rPr>
          <w:rFonts w:ascii="Times New Roman;serif" w:hAnsi="Times New Roman;serif"/>
          <w:b w:val="false"/>
          <w:color w:val="000000"/>
          <w:sz w:val="20"/>
        </w:rPr>
        <w:t>conversions by paying and/or delivering, as applicable, cash, shares of its common stock, or a combination of cash and shares of its common stock, at the Company’s election. The initial conversion rate is 144.3001 shares of the Company’s common stock per $1,000 principal amount of the 5.25%</w:t>
      </w:r>
      <w:r>
        <w:rPr>
          <w:color w:val="000000"/>
          <w:shd w:fill="FFFFFF" w:val="clear"/>
        </w:rPr>
        <w:t xml:space="preserve"> </w:t>
      </w:r>
      <w:r>
        <w:rPr>
          <w:rFonts w:ascii="Times New Roman;serif" w:hAnsi="Times New Roman;serif"/>
          <w:b w:val="false"/>
          <w:color w:val="000000"/>
          <w:sz w:val="20"/>
        </w:rPr>
        <w:t>Convertible Notes due 2030, which is equivalent to an initial conversion price of approximately $6.93 per share of common stock. If a “make-whole fundamental change” (as defined in the indenture governing the 5.25% Convertible Notes due 2030) occurs, or if the Company calls a holder’s 5.25%</w:t>
      </w:r>
      <w:r>
        <w:rPr>
          <w:color w:val="000000"/>
          <w:shd w:fill="FFFFFF" w:val="clear"/>
        </w:rPr>
        <w:t xml:space="preserve"> </w:t>
      </w:r>
      <w:r>
        <w:rPr>
          <w:rFonts w:ascii="Times New Roman;serif" w:hAnsi="Times New Roman;serif"/>
          <w:b w:val="false"/>
          <w:color w:val="000000"/>
          <w:sz w:val="20"/>
        </w:rPr>
        <w:t xml:space="preserve">Convertible Notes due 2030 for redemption, then the Company will in certain circumstances increase the conversion rate </w:t>
      </w:r>
      <w:r>
        <w:rPr>
          <w:rFonts w:ascii="Times New Roman;serif" w:hAnsi="Times New Roman;serif"/>
          <w:b w:val="false"/>
          <w:color w:val="000000"/>
          <w:sz w:val="20"/>
          <w:shd w:fill="FFFFFF" w:val="clear"/>
        </w:rPr>
        <w:t xml:space="preserve">for a specified period of time for holders who convert their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 xml:space="preserve">in connection with that make-whole fundamental change, or who convert their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that are called for such redemption. As the Company has the option to settle in shares, these shares are considered potentially dilutive for the calculation of diluted earnings per share.</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 xml:space="preserve">will be redeemable in whole or in part (subject to certain limitations), at the Company’s option at any time, and from time to time, on or after December 6, 2028, and prior to the 41st scheduled trading day immediately before the maturity date, but only if the last reported sale price per share of the Company’s common stock equals or exceeds 130% of the conversion price for the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 xml:space="preserve">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notice. However, the Company may not redeem less than all of the outstanding 5.25% Convertible Notes </w:t>
      </w:r>
      <w:r>
        <w:rPr>
          <w:rFonts w:ascii="Times New Roman;serif" w:hAnsi="Times New Roman;serif"/>
          <w:b w:val="false"/>
          <w:color w:val="000000"/>
          <w:sz w:val="20"/>
        </w:rPr>
        <w:t>due 2030</w:t>
      </w:r>
      <w:r>
        <w:rPr>
          <w:color w:val="000000"/>
          <w:shd w:fill="FFFFFF" w:val="clear"/>
        </w:rPr>
        <w:t xml:space="preserve"> </w:t>
      </w:r>
      <w:r>
        <w:rPr>
          <w:rFonts w:ascii="Times New Roman;serif" w:hAnsi="Times New Roman;serif"/>
          <w:b w:val="false"/>
          <w:color w:val="000000"/>
          <w:sz w:val="20"/>
          <w:shd w:fill="FFFFFF" w:val="clear"/>
        </w:rPr>
        <w:t xml:space="preserve">unless at least $50.0 million aggregate principal amount of </w:t>
      </w:r>
      <w:r>
        <w:rPr>
          <w:rFonts w:ascii="Times New Roman;serif" w:hAnsi="Times New Roman;serif"/>
          <w:b w:val="false"/>
          <w:color w:val="000000"/>
          <w:sz w:val="20"/>
        </w:rPr>
        <w:t>5.25%</w:t>
      </w:r>
      <w:r>
        <w:rPr>
          <w:color w:val="000000"/>
          <w:shd w:fill="FFFFFF" w:val="clear"/>
        </w:rPr>
        <w:t xml:space="preserve">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 xml:space="preserve">due 2030 </w:t>
      </w:r>
      <w:r>
        <w:rPr>
          <w:rFonts w:ascii="Times New Roman;serif" w:hAnsi="Times New Roman;serif"/>
          <w:b w:val="false"/>
          <w:color w:val="000000"/>
          <w:sz w:val="20"/>
          <w:shd w:fill="FFFFFF" w:val="clear"/>
        </w:rPr>
        <w:t>are outstanding.</w:t>
      </w:r>
    </w:p>
    <w:p>
      <w:pPr>
        <w:pStyle w:val="TextBody"/>
        <w:bidi w:val="0"/>
        <w:spacing w:lineRule="auto" w:line="240" w:before="0" w:after="180"/>
        <w:ind w:left="0" w:right="0" w:firstLine="720"/>
        <w:jc w:val="both"/>
        <w:rPr/>
      </w:pPr>
      <w:r>
        <w:rPr>
          <w:rFonts w:ascii="Times New Roman;serif" w:hAnsi="Times New Roman;serif"/>
          <w:b w:val="false"/>
          <w:color w:val="000000"/>
          <w:sz w:val="20"/>
        </w:rPr>
        <w:t>We recorded $2.5 million and $5.0 million in interest expense on the 5.25%</w:t>
      </w:r>
      <w:r>
        <w:rPr>
          <w:color w:val="000000"/>
          <w:shd w:fill="FFFFFF" w:val="clear"/>
        </w:rPr>
        <w:t xml:space="preserve"> </w:t>
      </w:r>
      <w:r>
        <w:rPr>
          <w:rFonts w:ascii="Times New Roman;serif" w:hAnsi="Times New Roman;serif"/>
          <w:b w:val="false"/>
          <w:color w:val="000000"/>
          <w:sz w:val="20"/>
        </w:rPr>
        <w:t>Convertible Notes due 2030 for the three and six months ended June 30, 2026, respectively, which includes $2.1 million and $4.2 million of contractual interest and $0.4 million and $0.8 million of amortization of debt issuance costs for the three and six months ended June 30, 2026, respectively. The carrying amount of the 5.25%</w:t>
      </w:r>
      <w:r>
        <w:rPr>
          <w:color w:val="000000"/>
          <w:shd w:fill="FFFFFF" w:val="clear"/>
        </w:rPr>
        <w:t xml:space="preserve"> </w:t>
      </w:r>
      <w:r>
        <w:rPr>
          <w:rFonts w:ascii="Times New Roman;serif" w:hAnsi="Times New Roman;serif"/>
          <w:b w:val="false"/>
          <w:color w:val="000000"/>
          <w:sz w:val="20"/>
        </w:rPr>
        <w:t xml:space="preserve">Convertible Notes due 2030 as of June 30, 2026 was $153.8 million, which includes $7.2 million unamortized debt issuance costs. The </w:t>
      </w:r>
      <w:r>
        <w:rPr>
          <w:rFonts w:ascii="Times New Roman;serif" w:hAnsi="Times New Roman;serif"/>
          <w:b w:val="false"/>
          <w:color w:val="000000"/>
          <w:sz w:val="20"/>
          <w:shd w:fill="FFFFFF" w:val="clear"/>
        </w:rPr>
        <w:t xml:space="preserve">5.25% </w:t>
      </w:r>
      <w:r>
        <w:rPr>
          <w:rFonts w:ascii="Times New Roman;serif" w:hAnsi="Times New Roman;serif"/>
          <w:b w:val="false"/>
          <w:color w:val="000000"/>
          <w:sz w:val="20"/>
        </w:rPr>
        <w:t xml:space="preserve">Convertible Notes due 2030 are governed by customary terms and covenants, which we were in compliance with through the date of this Report.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4.00% Convertible Senior Notes due 2031</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On April 17, 2026</w:t>
      </w:r>
      <w:r>
        <w:rPr>
          <w:rFonts w:ascii="Times New Roman;serif" w:hAnsi="Times New Roman;serif"/>
          <w:b w:val="false"/>
          <w:color w:val="000000"/>
          <w:sz w:val="20"/>
        </w:rPr>
        <w:t xml:space="preserve">, the Company completed a public offering of $184.0 million aggregate principal amount of the Company’s 4.00% Convertible Senior Notes due 2031 (the “4.00% Convertible Notes due 2031”) at a public offering price of 100% of the principal amount thereof. The 4.00% Convertible Notes due 2031 are senior unsecured obligations of the Company and bear interest at a rate of 4.00% per annum from and including April 17, 2026, payable semi-annually in arrears on April 15 and October 15 of each year, beginning on </w:t>
      </w:r>
      <w:r>
        <w:rPr>
          <w:rFonts w:ascii="Times New Roman;serif" w:hAnsi="Times New Roman;serif"/>
          <w:b w:val="false"/>
          <w:color w:val="000000"/>
          <w:sz w:val="20"/>
          <w:shd w:fill="FFFFFF" w:val="clear"/>
        </w:rPr>
        <w:t>October 15, 2026</w:t>
      </w:r>
      <w:r>
        <w:rPr>
          <w:rFonts w:ascii="Times New Roman;serif" w:hAnsi="Times New Roman;serif"/>
          <w:b w:val="false"/>
          <w:color w:val="000000"/>
          <w:sz w:val="20"/>
        </w:rPr>
        <w:t xml:space="preserve">. The 4.00% Convertible Notes due 2031 will mature on </w:t>
      </w:r>
      <w:r>
        <w:rPr>
          <w:rFonts w:ascii="Times New Roman;serif" w:hAnsi="Times New Roman;serif"/>
          <w:b w:val="false"/>
          <w:color w:val="000000"/>
          <w:sz w:val="20"/>
          <w:shd w:fill="FFFFFF" w:val="clear"/>
        </w:rPr>
        <w:t>April 15, 2031</w:t>
      </w:r>
      <w:r>
        <w:rPr>
          <w:rFonts w:ascii="Times New Roman;serif" w:hAnsi="Times New Roman;serif"/>
          <w:b w:val="false"/>
          <w:color w:val="000000"/>
          <w:sz w:val="20"/>
        </w:rPr>
        <w:t xml:space="preserve">, unless earlier repurchased, redeemed or converted.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Before </w:t>
      </w:r>
      <w:r>
        <w:rPr>
          <w:rFonts w:ascii="Times New Roman;serif" w:hAnsi="Times New Roman;serif"/>
          <w:b w:val="false"/>
          <w:color w:val="000000"/>
          <w:sz w:val="20"/>
          <w:shd w:fill="FFFFFF" w:val="clear"/>
        </w:rPr>
        <w:t>January 15, 2031</w:t>
      </w:r>
      <w:r>
        <w:rPr>
          <w:rFonts w:ascii="Times New Roman;serif" w:hAnsi="Times New Roman;serif"/>
          <w:b w:val="false"/>
          <w:color w:val="000000"/>
          <w:sz w:val="20"/>
        </w:rPr>
        <w:t xml:space="preserve">, holders may convert their 4.00% Convertible Notes due 2031 at their option only in certain circumstances. At any time from, and including, </w:t>
      </w:r>
      <w:r>
        <w:rPr>
          <w:rFonts w:ascii="Times New Roman;serif" w:hAnsi="Times New Roman;serif"/>
          <w:b w:val="false"/>
          <w:color w:val="000000"/>
          <w:sz w:val="20"/>
          <w:shd w:fill="FFFFFF" w:val="clear"/>
        </w:rPr>
        <w:t>January 15, 2031</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holders may convert their </w:t>
      </w:r>
      <w:r>
        <w:rPr>
          <w:rFonts w:ascii="Times New Roman;serif" w:hAnsi="Times New Roman;serif"/>
          <w:b w:val="false"/>
          <w:color w:val="000000"/>
          <w:sz w:val="20"/>
        </w:rPr>
        <w:t xml:space="preserve">4.00%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 xml:space="preserve">due 2031 </w:t>
      </w:r>
      <w:r>
        <w:rPr>
          <w:rFonts w:ascii="Times New Roman;serif" w:hAnsi="Times New Roman;serif"/>
          <w:b w:val="false"/>
          <w:color w:val="000000"/>
          <w:sz w:val="20"/>
          <w:shd w:fill="FFFFFF" w:val="clear"/>
        </w:rPr>
        <w:t>at their option until the close of business on the business day immediately preceding the maturity date. The Company will settle</w:t>
      </w:r>
      <w:r>
        <w:rPr>
          <w:color w:val="000000"/>
        </w:rPr>
        <w:t xml:space="preserve"> </w:t>
      </w:r>
      <w:r>
        <w:rPr>
          <w:rFonts w:ascii="Times New Roman;serif" w:hAnsi="Times New Roman;serif"/>
          <w:b w:val="false"/>
          <w:color w:val="000000"/>
          <w:sz w:val="20"/>
        </w:rPr>
        <w:t xml:space="preserve">conversions by paying and/or delivering, as applicable, cash, shares of its common stock, or a combination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pPr>
      <w:r>
        <w:rPr>
          <w:rFonts w:ascii="Times New Roman;serif" w:hAnsi="Times New Roman;serif"/>
          <w:b w:val="false"/>
          <w:color w:val="000000"/>
          <w:sz w:val="20"/>
        </w:rPr>
        <w:t>and shares of its common stock, at the Company’s election. The initial conversion rate is 146.9724 shares of the Company’s common stock per $1,000 principal amount of the 4.00%</w:t>
      </w:r>
      <w:r>
        <w:rPr>
          <w:color w:val="000000"/>
          <w:shd w:fill="FFFFFF" w:val="clear"/>
        </w:rPr>
        <w:t xml:space="preserve"> </w:t>
      </w:r>
      <w:r>
        <w:rPr>
          <w:rFonts w:ascii="Times New Roman;serif" w:hAnsi="Times New Roman;serif"/>
          <w:b w:val="false"/>
          <w:color w:val="000000"/>
          <w:sz w:val="20"/>
        </w:rPr>
        <w:t xml:space="preserve">Convertible Notes due 2031, which is equivalent to an initial conversion price of approximately $6.80 per share of common stock. If a “make-whole fundamental change” (as defined in the indenture governing the 4.00% Convertible Notes due 2031) occurs, or if the Company calls a holder’s 4.00% Convertible Notes due 2031 for redemption, then the Company will in certain circumstances increase the conversion rate </w:t>
      </w:r>
      <w:r>
        <w:rPr>
          <w:rFonts w:ascii="Times New Roman;serif" w:hAnsi="Times New Roman;serif"/>
          <w:b w:val="false"/>
          <w:color w:val="000000"/>
          <w:sz w:val="20"/>
          <w:shd w:fill="FFFFFF" w:val="clear"/>
        </w:rPr>
        <w:t xml:space="preserve">for a specified period of time for holders who convert their </w:t>
      </w:r>
      <w:r>
        <w:rPr>
          <w:rFonts w:ascii="Times New Roman;serif" w:hAnsi="Times New Roman;serif"/>
          <w:b w:val="false"/>
          <w:color w:val="000000"/>
          <w:sz w:val="20"/>
        </w:rPr>
        <w:t xml:space="preserve">4.00%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2031</w:t>
      </w:r>
      <w:r>
        <w:rPr>
          <w:color w:val="000000"/>
          <w:shd w:fill="FFFFFF" w:val="clear"/>
        </w:rPr>
        <w:t xml:space="preserve"> </w:t>
      </w:r>
      <w:r>
        <w:rPr>
          <w:rFonts w:ascii="Times New Roman;serif" w:hAnsi="Times New Roman;serif"/>
          <w:b w:val="false"/>
          <w:color w:val="000000"/>
          <w:sz w:val="20"/>
          <w:shd w:fill="FFFFFF" w:val="clear"/>
        </w:rPr>
        <w:t xml:space="preserve">in connection with that make-whole fundamental change, or who convert their </w:t>
      </w:r>
      <w:r>
        <w:rPr>
          <w:rFonts w:ascii="Times New Roman;serif" w:hAnsi="Times New Roman;serif"/>
          <w:b w:val="false"/>
          <w:color w:val="000000"/>
          <w:sz w:val="20"/>
        </w:rPr>
        <w:t xml:space="preserve">4.00%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2031</w:t>
      </w:r>
      <w:r>
        <w:rPr>
          <w:color w:val="000000"/>
          <w:shd w:fill="FFFFFF" w:val="clear"/>
        </w:rPr>
        <w:t xml:space="preserve"> </w:t>
      </w:r>
      <w:r>
        <w:rPr>
          <w:rFonts w:ascii="Times New Roman;serif" w:hAnsi="Times New Roman;serif"/>
          <w:b w:val="false"/>
          <w:color w:val="000000"/>
          <w:sz w:val="20"/>
          <w:shd w:fill="FFFFFF" w:val="clear"/>
        </w:rPr>
        <w:t>that are called for such redemption. As the Company has the option to settle in shares, these shares are considered potentially dilutive for the calculation of diluted earnings per share.</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4.00%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2031</w:t>
      </w:r>
      <w:r>
        <w:rPr>
          <w:color w:val="000000"/>
          <w:shd w:fill="FFFFFF" w:val="clear"/>
        </w:rPr>
        <w:t xml:space="preserve"> </w:t>
      </w:r>
      <w:r>
        <w:rPr>
          <w:rFonts w:ascii="Times New Roman;serif" w:hAnsi="Times New Roman;serif"/>
          <w:b w:val="false"/>
          <w:color w:val="000000"/>
          <w:sz w:val="20"/>
          <w:shd w:fill="FFFFFF" w:val="clear"/>
        </w:rPr>
        <w:t xml:space="preserve">will be redeemable in whole or in part (subject to certain limitations), at the Company’s option at any time, and from time to time, on or after April 20, 2029, and prior to the 41st scheduled trading day immediately before the maturity date, but only if the last reported sale price per share of the Company’s common stock equals or exceeds </w:t>
      </w:r>
      <w:r>
        <w:rPr>
          <w:rFonts w:ascii="Times New Roman;serif" w:hAnsi="Times New Roman;serif"/>
          <w:b w:val="false"/>
          <w:color w:val="000000"/>
          <w:sz w:val="20"/>
        </w:rPr>
        <w:t>130%</w:t>
      </w:r>
      <w:r>
        <w:rPr>
          <w:color w:val="000000"/>
          <w:shd w:fill="FFFFFF" w:val="clear"/>
        </w:rPr>
        <w:t xml:space="preserve"> </w:t>
      </w:r>
      <w:r>
        <w:rPr>
          <w:rFonts w:ascii="Times New Roman;serif" w:hAnsi="Times New Roman;serif"/>
          <w:b w:val="false"/>
          <w:color w:val="000000"/>
          <w:sz w:val="20"/>
          <w:shd w:fill="FFFFFF" w:val="clear"/>
        </w:rPr>
        <w:t xml:space="preserve">of the conversion price for the </w:t>
      </w:r>
      <w:r>
        <w:rPr>
          <w:rFonts w:ascii="Times New Roman;serif" w:hAnsi="Times New Roman;serif"/>
          <w:b w:val="false"/>
          <w:color w:val="000000"/>
          <w:sz w:val="20"/>
        </w:rPr>
        <w:t xml:space="preserve">4.00% </w:t>
      </w:r>
      <w:r>
        <w:rPr>
          <w:rFonts w:ascii="Times New Roman;serif" w:hAnsi="Times New Roman;serif"/>
          <w:b w:val="false"/>
          <w:color w:val="000000"/>
          <w:sz w:val="20"/>
          <w:shd w:fill="FFFFFF" w:val="clear"/>
        </w:rPr>
        <w:t xml:space="preserve">Convertible Notes </w:t>
      </w:r>
      <w:r>
        <w:rPr>
          <w:rFonts w:ascii="Times New Roman;serif" w:hAnsi="Times New Roman;serif"/>
          <w:b w:val="false"/>
          <w:color w:val="000000"/>
          <w:sz w:val="20"/>
        </w:rPr>
        <w:t>due 2031</w:t>
      </w:r>
      <w:r>
        <w:rPr>
          <w:color w:val="000000"/>
          <w:shd w:fill="FFFFFF" w:val="clear"/>
        </w:rPr>
        <w:t xml:space="preserve"> </w:t>
      </w:r>
      <w:r>
        <w:rPr>
          <w:rFonts w:ascii="Times New Roman;serif" w:hAnsi="Times New Roman;serif"/>
          <w:b w:val="false"/>
          <w:color w:val="000000"/>
          <w:sz w:val="20"/>
          <w:shd w:fill="FFFFFF" w:val="clear"/>
        </w:rPr>
        <w:t xml:space="preserve">on (1) each of at least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 xml:space="preserve">trading days, whether or not consecutive, during the </w:t>
      </w:r>
      <w:r>
        <w:rPr>
          <w:rFonts w:ascii="Times New Roman;serif" w:hAnsi="Times New Roman;serif"/>
          <w:b w:val="false"/>
          <w:color w:val="000000"/>
          <w:sz w:val="20"/>
        </w:rPr>
        <w:t>30</w:t>
      </w:r>
      <w:r>
        <w:rPr>
          <w:color w:val="000000"/>
          <w:shd w:fill="FFFFFF" w:val="clear"/>
        </w:rPr>
        <w:t xml:space="preserve"> </w:t>
      </w:r>
      <w:r>
        <w:rPr>
          <w:rFonts w:ascii="Times New Roman;serif" w:hAnsi="Times New Roman;serif"/>
          <w:b w:val="false"/>
          <w:color w:val="000000"/>
          <w:sz w:val="20"/>
          <w:shd w:fill="FFFFFF" w:val="clear"/>
        </w:rPr>
        <w:t xml:space="preserve">consecutive trading days ending on, and including, the trading day immediately before the date the Company sends the related redemption notice; and (2) the trading day immediately before the date the Company sends such notice. </w:t>
      </w:r>
      <w:r>
        <w:rPr>
          <w:rFonts w:ascii="Times New Roman;serif" w:hAnsi="Times New Roman;serif"/>
          <w:b w:val="false"/>
          <w:color w:val="000000"/>
          <w:sz w:val="20"/>
        </w:rPr>
        <w:t>However, the Company may not redeem less than all of the outstanding 4.00% Convertible Notes due 2031 unless at least $50.0 million aggregate principal amount of 4.00% Convertible Notes due 2031 are outstanding.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recorded $1.9 million in interest expense on the 4.00% Convertible Notes due 2031 for the three and six months ended June 30, 2026, respectively, which includes $1.5 million of contractual interest and $0.4 million of amortization of debt issuance costs for the three and six months ended June 30, 2026, respectively. The carrying amount of the 4.00% Convertible Notes due 2031 as of June 30, 2026 was $175.2 million, which includes $8.8 million unamortized debt issuance costs. The 4.00% Convertible Notes due 2031 are governed by customary terms and covenants, which we were in compliance with through the date of this Report.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our debt borrowing rates were as follows:</w:t>
      </w:r>
    </w:p>
    <w:tbl>
      <w:tblPr>
        <w:tblW w:w="8308" w:type="dxa"/>
        <w:jc w:val="left"/>
        <w:tblInd w:w="0" w:type="dxa"/>
        <w:tblLayout w:type="fixed"/>
        <w:tblCellMar>
          <w:top w:w="28" w:type="dxa"/>
          <w:left w:w="28" w:type="dxa"/>
          <w:bottom w:w="28" w:type="dxa"/>
          <w:right w:w="28" w:type="dxa"/>
        </w:tblCellMar>
      </w:tblPr>
      <w:tblGrid>
        <w:gridCol w:w="1283"/>
        <w:gridCol w:w="1125"/>
        <w:gridCol w:w="1132"/>
        <w:gridCol w:w="109"/>
        <w:gridCol w:w="109"/>
        <w:gridCol w:w="109"/>
        <w:gridCol w:w="109"/>
        <w:gridCol w:w="109"/>
        <w:gridCol w:w="109"/>
        <w:gridCol w:w="109"/>
        <w:gridCol w:w="514"/>
        <w:gridCol w:w="514"/>
        <w:gridCol w:w="517"/>
        <w:gridCol w:w="109"/>
        <w:gridCol w:w="109"/>
        <w:gridCol w:w="109"/>
        <w:gridCol w:w="659"/>
        <w:gridCol w:w="659"/>
        <w:gridCol w:w="66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Reservation Fee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plus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Convertible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Convertible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Schedule of Principal Maturities of Debt</w:t>
      </w:r>
    </w:p>
    <w:p>
      <w:pPr>
        <w:pStyle w:val="TextBody"/>
        <w:bidi w:val="0"/>
        <w:spacing w:lineRule="auto" w:line="240" w:before="0" w:after="18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long-term debt as of June 30, 2026, were as follows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leases primarily consist of our G1_Dallas solar module facility in Wilmer, Texas, our G2_Austin solar cell manufacturing in Rockdale, Texas, storage facility in Baytown, Texas, and our corporate office space in Austin, Texas. The aforementioned Baytown facility and our corporate offices were added during the three months ended June 30, 2026 and included in the disclosures herein. In Norway, we also lease office space for the administration of our Norwegian operations and related European assets and the Customer Qualification Plant, which includes support facilities. We also lease other office spaces to support additional personnel in various jurisdictions. We have short-term leases for which we elected to apply the short-term lease exemption to leases with a term of twelve months or less, and accordingly, have not recognized a right-of-use asset or lease liability. We have no other leases that are presented as continuing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 disposed of by means other than a sale and thus no longer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criteria for classification as held for sale. Refer to Note 1 - Summary of Significant Accounting Policies for further details.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right-of-use asset under operating leases and lease liabilities consisted of the following (in thousands):</w:t>
      </w:r>
    </w:p>
    <w:tbl>
      <w:tblPr>
        <w:tblW w:w="6805" w:type="dxa"/>
        <w:jc w:val="left"/>
        <w:tblInd w:w="0" w:type="dxa"/>
        <w:tblLayout w:type="fixed"/>
        <w:tblCellMar>
          <w:top w:w="28" w:type="dxa"/>
          <w:left w:w="28" w:type="dxa"/>
          <w:bottom w:w="28" w:type="dxa"/>
          <w:right w:w="28" w:type="dxa"/>
        </w:tblCellMar>
      </w:tblPr>
      <w:tblGrid>
        <w:gridCol w:w="1240"/>
        <w:gridCol w:w="1093"/>
        <w:gridCol w:w="1102"/>
        <w:gridCol w:w="234"/>
        <w:gridCol w:w="919"/>
        <w:gridCol w:w="121"/>
        <w:gridCol w:w="109"/>
        <w:gridCol w:w="109"/>
        <w:gridCol w:w="109"/>
        <w:gridCol w:w="313"/>
        <w:gridCol w:w="1228"/>
        <w:gridCol w:w="228"/>
      </w:tblGrid>
      <w:tr>
        <w:trPr/>
        <w:tc>
          <w:tcPr>
            <w:tcW w:w="124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under operating leases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 (short-term)</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(long-term)</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158,465 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was $6.3 million and $11.4 million for the three and six months ended June 30, 2026, respectively. </w:t>
      </w:r>
    </w:p>
    <w:p>
      <w:pPr>
        <w:pStyle w:val="TextBody"/>
        <w:bidi w:val="0"/>
        <w:spacing w:lineRule="auto" w:line="240" w:before="0" w:after="18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remaining minimum lease payments due on our long-term leases as of June 30, 2026 are as follows (in thousands):</w:t>
      </w:r>
    </w:p>
    <w:tbl>
      <w:tblPr>
        <w:tblW w:w="4640" w:type="dxa"/>
        <w:jc w:val="left"/>
        <w:tblInd w:w="0" w:type="dxa"/>
        <w:tblLayout w:type="fixed"/>
        <w:tblCellMar>
          <w:top w:w="28" w:type="dxa"/>
          <w:left w:w="28" w:type="dxa"/>
          <w:bottom w:w="28" w:type="dxa"/>
          <w:right w:w="28" w:type="dxa"/>
        </w:tblCellMar>
      </w:tblPr>
      <w:tblGrid>
        <w:gridCol w:w="1251"/>
        <w:gridCol w:w="1098"/>
        <w:gridCol w:w="1100"/>
        <w:gridCol w:w="211"/>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*Excludes $2.1 million of lease incentives to be received. </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were as follows: </w:t>
      </w:r>
    </w:p>
    <w:tbl>
      <w:tblPr>
        <w:tblW w:w="7495" w:type="dxa"/>
        <w:jc w:val="left"/>
        <w:tblInd w:w="0" w:type="dxa"/>
        <w:tblLayout w:type="fixed"/>
        <w:tblCellMar>
          <w:top w:w="28" w:type="dxa"/>
          <w:left w:w="28" w:type="dxa"/>
          <w:bottom w:w="28" w:type="dxa"/>
          <w:right w:w="28" w:type="dxa"/>
        </w:tblCellMar>
      </w:tblPr>
      <w:tblGrid>
        <w:gridCol w:w="1495"/>
        <w:gridCol w:w="1312"/>
        <w:gridCol w:w="1317"/>
        <w:gridCol w:w="282"/>
        <w:gridCol w:w="282"/>
        <w:gridCol w:w="711"/>
        <w:gridCol w:w="109"/>
        <w:gridCol w:w="109"/>
        <w:gridCol w:w="109"/>
        <w:gridCol w:w="360"/>
        <w:gridCol w:w="360"/>
        <w:gridCol w:w="104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8</w:t>
      </w:r>
      <w:r>
        <w:rPr>
          <w:rFonts w:ascii="Times New Roman;serif" w:hAnsi="Times New Roman;serif"/>
          <w:b/>
          <w:color w:val="000000"/>
          <w:sz w:val="20"/>
          <w:shd w:fill="FFFFFF" w:val="clear"/>
        </w:rPr>
        <w:t xml:space="preserve">. </w:t>
      </w:r>
      <w:r>
        <w:rPr>
          <w:rFonts w:ascii="Times New Roman;serif" w:hAnsi="Times New Roman;serif"/>
          <w:b/>
          <w:color w:val="000000"/>
          <w:sz w:val="20"/>
        </w:rPr>
        <w:t>COMMITMENTS AND CONTINGENCIES</w:t>
      </w:r>
    </w:p>
    <w:p>
      <w:pPr>
        <w:pStyle w:val="TextBody"/>
        <w:bidi w:val="0"/>
        <w:spacing w:lineRule="auto" w:line="240" w:before="0" w:after="180"/>
        <w:jc w:val="left"/>
        <w:rPr/>
      </w:pPr>
      <w:r>
        <w:rPr>
          <w:rFonts w:ascii="Times New Roman;serif" w:hAnsi="Times New Roman;serif"/>
          <w:b/>
          <w:color w:val="000000"/>
          <w:sz w:val="20"/>
        </w:rPr>
        <w:t>Legal Proceedings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subject to legal and regulatory actions that arise in the ordinary course of business. The assessment as to whether a loss is probable or reasonably possible, and if such loss or a range of losses is estimable, often involves significant judgment, including estimates and assumptions about future events. To the knowledge of our management, as of June 30, 2026, there are no material litigation, claims, or actions currently pending against us, any of our officers, or directors in their capacity as such, or against any of our property except as described below.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2025, July 1, 2025 and July 31, 2025, we received notices from U.S. Customs and Border Protection (“CBP”) relating to potential customs duties on goods imported in 2024 by one of the entities we acquired in the Trina Business Combination (the “Notices”). We have engaged with CBP on these Notices and explained why we believe they were without legal or factual merit. In March and April 2026, we received bills from CBP for alleged duties on goods imported in 2024 by the same entity acquired in the Trina Business Combination. These bills relate to the same entries covered by some of the Notices and appear to be rooted in the same erroneous reasoning as those Notices. The Company is engaging with CBP, through outside counsel, to correct what it believes is the erroneous application of duties, including through an administrative protest with CBP filed on June 10, 2026. We are not required to pay the billed duties while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pursuing this process. It is not possible at this time to predict the duration, outcome, or impact of these matters, which the Company maintains would ultimately be subject to indemnification pursuant to the Trina Business Combination.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CBP launched a program allowing importers to submit claims for refunds of tariffs imposed under the International Emergency Economic Powers Act (“IEEPA”). Two months before the launch of this program, the U.S. Supreme Court declared these tariffs invalid. The Company has incurred IEEPA tariffs and has submitted claims for refunds of $33.5 million. During the three and six months ended June 30, 2026, we concluded that the realization of $24.4 million of our claims was probable, as defined under ASC 450-20 and recognized this amount as a reduction to Cost of sales. Additionally, we recognized $0.9 million as interest income within Other income, net and the offsetting receivable within Other current assets. We recognize tariff refunds when they become probable, as defined under ASC 450-20, under the loss recovery model. While a favorable resolution of the remaining claims could positively impact results of operations in future periods, the timing and ultimate realization of these remaining refunds continues to be subject to significant uncertainty.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and a Company executive and Board member (the “Individual”) received grand jury subpoenas from the Department of Justice (“DOJ”), which requested the production of documents relating to the sale of the Company’s stock in the second half of 2023 on account of the Individual, who was a director of the Company at that time. Shortly thereafter, the Company received a voluntary document request from the SEC seeking similar information. The Company believes that the relevant trades relate to stock that the Individual pledged as collateral against a personal loan, which was approved in accordance with the Company’s insider trading policy. The Company is cooperating with both the DOJ and SEC, and it is not possible at this time to predict the duration, outcome or impact of such matters.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RWE Investco EPC MGMT, LLC filed an action against a subsidiary of the Company and TUS, in the Superior Court of the State of California for the County of San Francisco (the “Lawsuit”) alleging breach of contract claims relating to a long-term offtake agreement. We contest the allegations and intend to vigorously defend against the Lawsuit and pursue all legal remedies available to the Company, including but not limited to a Cross-Complaint filed in January 2026 asserting claims against RWE Investco EPC MGMT, LLC and seeking damages, and a complaint filed in March 2026 against RWE Aktiengesellschaft in the Supreme Court of the State of New York for the County of New York, seeking to enforce their unconditional guaranty of RWE Investco EPC MGMT, LLC’s payment obligations under the long-term offtake agreement for up to $100 million.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First Solar, Inc. initiated patent infringement proceedings in early 2026 against numerous companies in the solar industry, including a district court proceeding against T1 Energy Inc. and T1 G1 Dallas Midco Inc., alleging that such companies are and have been willfully infringing U.S. Patent No. 9,130,074 (the “’074 Patent”) by, among other actions, importing certain solar cells. Separately, also in early 2026, the International Trade Commission published a Notice of Receipt of Complaint filed by First Solar, Inc. alleging that multiple proposed respondents, including T1 Energy Inc. and T1 G1 Dallas Solar Module LLC, are knowingly and intentionally infringing the ’074 Patent by, among other actions, importing certain solar cells. In that proceeding, First Solar Inc. has requested that the International Trade Commission issue a general exclusion order prohibiting the importation of products that infringe the ’074 Patent, which First Solar, Inc. alleges includes TOPCon solar cells, as well as cease-and-desist orders to all respondents with respect to the importation, sale, marketing, or distribution of such products. On March 31, 2026, the district court stayed its proceedings, at First Solar’s request, until the conclusion of the International Trade Commission investigation. The International Trade Commission hearing is scheduled to commence on February 16, 2027. We contest the allegations by First Solar, Inc. and will vigorously defend against them and pursue all legal remedies available to the Company.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these matters, or that we will not need to accrue or pay additional amounts in the future, which could be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9</w:t>
      </w:r>
      <w:r>
        <w:rPr>
          <w:rFonts w:ascii="Times New Roman;serif" w:hAnsi="Times New Roman;serif"/>
          <w:b/>
          <w:color w:val="000000"/>
          <w:sz w:val="20"/>
          <w:shd w:fill="FFFFFF" w:val="clear"/>
        </w:rPr>
        <w:t xml:space="preserve">. </w:t>
      </w:r>
      <w:r>
        <w:rPr>
          <w:rFonts w:ascii="Times New Roman;serif" w:hAnsi="Times New Roman;serif"/>
          <w:b/>
          <w:color w:val="000000"/>
          <w:sz w:val="20"/>
        </w:rPr>
        <w:t>WARRANTS</w:t>
      </w:r>
    </w:p>
    <w:p>
      <w:pPr>
        <w:pStyle w:val="TextBody"/>
        <w:bidi w:val="0"/>
        <w:spacing w:lineRule="auto" w:line="240" w:before="0" w:after="180"/>
        <w:jc w:val="left"/>
        <w:rPr/>
      </w:pPr>
      <w:r>
        <w:rPr>
          <w:rFonts w:ascii="Times New Roman;serif" w:hAnsi="Times New Roman;serif"/>
          <w:b/>
          <w:color w:val="000000"/>
          <w:sz w:val="20"/>
        </w:rPr>
        <w:t>Public, Private and Penny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24.6 million warrants outstanding (the “Warrants”), consisting of 16.3 million public warrants (the “Public Warrants”) and 8.3 million private warrants (the “Private Warrants”). As of December 31, 2025, we had 31.6 million warrants outstanding, consisting of 14.7 million Public Warrants, 9.9 million Private Warrants and penny warrants to purchase 7.0 million shares of common stock (the “Penny Warrants”).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and Private Warrants entitled the holder thereof to purchase one share of our common stock at a price of $11.50 per share, subject to adjustments. The Public Warrants and Private Warrants expired on July 9, 2026.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Public Warrants were callable for redemption once they became exercisable, in whole and not in part, at a price of $0.01 per Public Warrant, upon at least 30 days prior written notice of redemption to each Public Warrant holder, and if, and only if, the reported last sales price of our common stock equaled or exceeded $18.00 per share for each of 20 trading days within the 30 trading-day period ending on the third trading day before the date on which we would have sent the notice of redemption to the Public Warrant holders. We determined that the Public Warrants were equity classified as they were indexed to our common stock and qualified for classification within stockholders’ equity. As such, the Public Warrants are presented as part of additional paid-in capital on our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were identical to the Public Warrants, except that so long as they were held by a certain holder or any of its permitted transferees, the Private Warrants: (i) may have been exercised for cash or on a cashless basis and (ii) were not redeemable by us. We determined that the Private Warrants were not considered indexed to our common stock as the holder of the Private Warrants affected the settlement amount and thus, they were liability classified. As of June 30, 2026, and December 31, 2025, the Private Warrants were presented as derivative liabilities on our unaudited condensed consolidated balance sheets.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Private Warrants were sold or transferred to another party that is not the specified holder or any of its permitted transferees, the Private Warrants became Public Warrants and qualified for classification within stockholders’ equity at the fair value on the date of the transfer. See Note 11 – Fair Value Measurement for more details regarding fair value.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Penny Warrants entitled the holder thereof to purchase one share of our common stock at a price of $0.01 per share. The Penny Warrants fully vested and became exercisable on March 10, 2026, in whole or in part, and had an expiration date of September 10, 2030. On March 10, 2026, the holder exercised the Penny Warrants at an exercise price of $0.01 per share. Upon receipt of the exercise notice and payment of the aggregate exercise price in accordance with the terms of the Penny Warrants, we issued 7.0 million shares of our common stock to the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10. REDEEMABLE PREFERRED STOCK, ANTI-DILUTION RIGHTS, AND SHARE PURCHASE AGREEMENT</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Redeemable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1.6 million shares of Series B Convertible Non-Voting Preferred Stock (“Series B Preferred Stock) and 5.0 million shares of Series B-1 Convertible Non-Voting Preferred Stock (“Series B-1 Preferred Stock” and, together with the Series B Preferred Stock, the “Preferred Stock”) were issued and outstanding. Each share of Series B Preferred Stock and Series B-1 Preferred Stock has a par value of $0.01 per share and a stated liquidation preference of $10.00 per share, for aggregate liquidation preferences of $16.0 million and $50.0 million, respectively.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B Preferred Stock and Series B-1 Preferred Stock were issued to certain funds and accounts managed by Encompass Capital Advisors, LLC (“Encompass”), a related party, pursuant to an Amended and Restated Stock Purchase Agreement (the “Encompass Stock Purchase Agreement”) and have a maturity date of December 23, 2027. The Encompass Stock Purchase Agreement contains customary representations and warranties and agreements of the Company and Encompass and customary indemnification rights and obligations of the parties.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not converted by the holder into the Company’s common stock, we are required to redeem the Series B Preferred Stock and Series B-1 Preferred Stock at maturity at $10.00 per share plus any accrued and unpaid dividends. The Series B Preferred Stock and Series B-1 Preferred Stock rank senior to the common stock but junior to all debt obligations of the Company and have a liquidation preference equal to $10.00 per share of Series B Preferred Stock and Series B-1 Preferred Stock plus accrued but unpaid dividends. The Series B Preferred Stock and Series B-1 Preferred Stock carry 6% cash dividends payable in arrears (i) on the dividend date 18 months after the issuance date and (ii) every six months after such dividend payment date. For the six months ended June 30, 2026, we recognized $2.0 million of accumulated and unpaid dividends on Series B Preferred Stock and Series B-1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share of Series B Preferred Stock and Series B-1 Preferred Stock is convertible, at the option of the holders. The conversion price for Series B Preferred Stock is $1.70 per share of common stock, while the conversion price for Series B-1 Preferred Stock is $1.90 per share if the 10-day average trading price of our common stock before the conversion date is $2.50 or higher, and $1.70 per share if the 10-day average trading price is below $2.50.</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Anti-Dilution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and pursuant to the Transaction Agreement, we provided Trina Solar the right (“Anti-Dilution Right”), but not the obligation, to acquire a number of shares of our common stock so that Trina Solar’s proportionate ownership of our common stock after the conversion of the Preferred Stock will be the same as before the conversion at a price equal to $1.70 per share of our common stock or otherwise equal to the price for the conversion of Preferred Stock. We determined that the Anti-Dilution Right was a freestanding financial instrument and classified it within Other long-term liabilities on our unaudited condensed consolidated balance sheets, initially recorded at fair value. The Anti-Dilution Right is subsequently revalued until anti-dilution shares are issued or when the Anti-Dilution Right expires on December 23, 2027, with changes in fair value for each reporting period recognized in derivative liabilities fair value adjustment.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connection with the Trina Business Combination, we provided Trina Solar the right (the “Capital Raising Anti-Dilution Right”), but not the obligation, to acquire a number of shares of our common stock so that Trina Solar’s proportionate ownership of voting securities will be the same as before new voting securities are issued following certain capital raising transactions. The Capital Raising Anti-Dilution Right is exercisable no later than fifteen business days following written notice from the Company, after which the Company has certain rights to sell the voting securities not elected to be purchased by Trina Solar.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by the Company of 21.5 million shares of common stock to Encompass on October 31, 2025 pursuant to the Encompass Stock Purchase Agreement, the Company provided notice of the Anti-Dilution Right to Trina Solar. Trina Solar notified the Company on November 25, 2025, that it chose to exercise the Anti-Dilution Right related to this issuance, and as a result subscribed to 4,274,704 shares of common stock at a subscription price of $1.70. As of December 31, 2025, the shares were not issued and the Company recognized a subscription receivable of $7.3 million based on the subscription price. On January 21, 2026, the shares were issued to Trina Solar in exchange for $7.3 million in cash.</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 Purchase Agreement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6, 2024, the Company and an investor who is a significant shareholder of Trina Solar, entered into a share purchase agreement (“Share Purchase Agreement”) pursuant to which the investor subscribed to purchase a total of $14.8 million of common stock for $1.05 per share. We recognized the Share Purchase Agreement as a derivative liability on our unaudited condensed consolidated balance sheets and initially recorded it at fair value. The Share Purchase Agreement is subsequently revalued with changes in fair value for each reporting period recognized in derivative liabilities fair value adjustment. The Share Purchase Agreement derivative liabilities fair value adjustment recorded on the consolidated statements of operations and comprehensive loss for the three and six months ended June 30, 2025, was a loss of $0.8 million and $14.1 million, respectively.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2025, the Company and the investor entered into a termination letter agreement (“Termination Letter”) pursuant to which the Share Purchase Agreement was terminated in exchange for $5.0 million and the issuance of 7.0 million Penny Warrants. Refer to Note 9 – Warrants for further discussion on the Penny Warrants.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11</w:t>
      </w:r>
      <w:r>
        <w:rPr>
          <w:rFonts w:ascii="Times New Roman;serif" w:hAnsi="Times New Roman;serif"/>
          <w:b/>
          <w:color w:val="000000"/>
          <w:sz w:val="20"/>
          <w:shd w:fill="FFFFFF" w:val="clear"/>
        </w:rPr>
        <w:t xml:space="preserve">. </w:t>
      </w:r>
      <w:r>
        <w:rPr>
          <w:rFonts w:ascii="Times New Roman;serif" w:hAnsi="Times New Roman;serif"/>
          <w:b/>
          <w:color w:val="000000"/>
          <w:sz w:val="20"/>
        </w:rPr>
        <w:t>FAIR VALUE MEASUREMENT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liabilities measured at fair value on a recurring basis, by level within the fair value hierarchy, consisted of the following (in thousands):</w:t>
      </w:r>
    </w:p>
    <w:tbl>
      <w:tblPr>
        <w:tblW w:w="10990" w:type="dxa"/>
        <w:jc w:val="left"/>
        <w:tblInd w:w="0" w:type="dxa"/>
        <w:tblLayout w:type="fixed"/>
        <w:tblCellMar>
          <w:top w:w="28" w:type="dxa"/>
          <w:left w:w="28" w:type="dxa"/>
          <w:bottom w:w="28" w:type="dxa"/>
          <w:right w:w="28" w:type="dxa"/>
        </w:tblCellMar>
      </w:tblPr>
      <w:tblGrid>
        <w:gridCol w:w="573"/>
        <w:gridCol w:w="396"/>
        <w:gridCol w:w="232"/>
        <w:gridCol w:w="109"/>
        <w:gridCol w:w="109"/>
        <w:gridCol w:w="109"/>
        <w:gridCol w:w="211"/>
        <w:gridCol w:w="406"/>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Anti-dilution Right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our Anti-Dilution Right and Private Warrants at fair value based on significant inputs not observable in the market, which caused them to be classified as Level 3 measurements within the fair value hierarchy. The valuation uses assumptions and estimates that we believe a market participant would use when making the same valuation. Changes in the fair value of the Anti-Dilution Right are recognized in derivative liabilities fair value adjustment in our unaudited condensed consolidated statements of operations and comprehensive loss. Changes in the fair value of the Private Warrants are recognized under warrant liability fair value adjustment in our unaudited condensed consolidated statements of operations and comprehensive loss.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interest rate swaps is determined using valuation models that incorporate observable market inputs including interest rate yield curves and credit spreads and is classified within Level 2 of the fair value hierarchy. Changes in the fair value of interest rate swaps are recognized in other (expense) income, net in our unaudited condensed consolidated statements of operations and comprehensive loss. Interest rate swap assets are presented as other long-term assets and interest rate swap liabilities are presented as other long-term liabilities on our unaudited condensed consolidated balance sheets.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amounts of the Company’s cash and cash equivalents, accounts receivable, accounts payable, accrued liabilities and other current liabilities approximate their respective fair values due to the short-term maturities of these instruments.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Company’s debt instruments approximates fair value, as the current borrowing base rates for the Senior Secured Credit Facility does not materially differ from market rates of similar borrowings and the related party debt instruments were recorded at fair value on the closing date of the Trina Business Combination.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Anti-Dilution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Anti-Dilution Right was valued using the Black-Scholes-Merton option pricing model. See Note 10 – Redeemable Preferred Stock, Anti-Dilution Right, and Share Purchase Agreement above for further details. Our use of the Black-Scholes-Merton option pricing model for the Anti-Dilution Right,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 xml:space="preserve">The risk-free interest rate assumption was based on the U.S. Treasury rates commensurate with the contractual terms of the Anti-Dilution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Anti-Dilution Right.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Company’s stock price.</w:t>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Anti-Dilution Right was determined using this approach, exercise prices of $1.70 and $1.90 and a share price of $9.48 as of June 30, 2026, and an exercise price of $1.70 and $1.90 and a share price of $6.68 as of December 31, 2025.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Anti-Dilution Right. </w:t>
      </w:r>
    </w:p>
    <w:p>
      <w:pPr>
        <w:pStyle w:val="TextBody"/>
        <w:bidi w:val="0"/>
        <w:spacing w:lineRule="auto" w:line="240" w:before="0" w:after="180"/>
        <w:jc w:val="left"/>
        <w:rPr/>
      </w:pPr>
      <w:r>
        <w:rPr>
          <w:rFonts w:ascii="Times New Roman;serif" w:hAnsi="Times New Roman;serif"/>
          <w:b/>
          <w:color w:val="000000"/>
          <w:sz w:val="20"/>
        </w:rPr>
        <w:t>Private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were valued using the Black-Scholes-Merton option pricing model. See Note 9 – Warrants above for further details. Our use of the Black-Scholes-Merton option pricing model for the Private Warrants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publicly traded Public Warrants.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Private Warrants was determined using this approach, an exercise price of $11.50, and a share price of $9.48 as of June 30, 2026, and $6.68 as of December 31, 2025.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Private Warrants.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Rollforward of Level 3 Fair Value Instruments</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Level 3 instruments measured at fair value on a recurring basis were as follows (in thousands): </w:t>
      </w:r>
    </w:p>
    <w:tbl>
      <w:tblPr>
        <w:tblW w:w="7137"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349"/>
        <w:gridCol w:w="1195"/>
        <w:gridCol w:w="181"/>
        <w:gridCol w:w="125"/>
        <w:gridCol w:w="125"/>
        <w:gridCol w:w="125"/>
        <w:gridCol w:w="320"/>
        <w:gridCol w:w="1097"/>
        <w:gridCol w:w="233"/>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Anti-Dilution Right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Private Warrants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measurement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40" w:before="0" w:after="180"/>
        <w:ind w:left="0" w:right="0" w:firstLine="720"/>
        <w:jc w:val="both"/>
        <w:rPr/>
      </w:pPr>
      <w:r>
        <w:rPr>
          <w:rFonts w:ascii="Times New Roman;serif" w:hAnsi="Times New Roman;serif"/>
          <w:b w:val="false"/>
          <w:color w:val="000000"/>
          <w:sz w:val="20"/>
        </w:rPr>
        <w:t>On June 17, 2026, we amended our amended and restated certificate of incorporation to increase our authorized shares of common stock to</w:t>
      </w:r>
      <w:r>
        <w:rPr>
          <w:color w:val="000000"/>
        </w:rPr>
        <w:t xml:space="preserve"> </w:t>
      </w:r>
      <w:r>
        <w:rPr>
          <w:rFonts w:ascii="Times New Roman;serif" w:hAnsi="Times New Roman;serif"/>
          <w:b w:val="false"/>
          <w:color w:val="000000"/>
          <w:sz w:val="20"/>
        </w:rPr>
        <w:t xml:space="preserve">1.0 billion shares with a par value of $0.01 per share. As of June 30, 2026, 1.0 billion shares of common stock were authorized with a par value of $0.01 per share and 280.6 million shares of common stock were outstanding. Holders of common stock are entitled to one vote per share and to receive dividends when, as, and if, declared by our Board of Directors (the “Board”). From inception to June 30, 2026, we have not declared any dividends.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2021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we adopted the T1 Energy Inc. 2021 Equity Incentive Plan (as amended and restated as of April 22, 2024) (the “2021 Plan”). The 2021 Plan provides for the grant of stock options, restricted stock, restricted stock units (“RSUs”), stock appreciation rights, performance units, and performance shares to our employees, directors, and consultants. Generally, our stock options and RSUs vest annually over three years and our stock options are exercisable over a maximum period of five years from their grant dates. Options are typically forfeited when the employment relationship ends for employees, and they are not typically forfeited for directors. Generally, our RSUs are equity-classified awards, as they are share settled. All exercised options are expected to be settled in shares, net of shares withheld to satisfy the award exercise price. As of June 30, 2026, a total of 34.9 million shares were authorized for issuance to satisfy share-based compensation awards made under the 2021 Plan.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0.3 million options were granted, 1.1 million options were exercised, 0.7 million options were cancelled or forfeited, 4.4 million RSUs were granted, 0.1 million RSUs were forfeited, and 2.4 million RSUs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pPr>
      <w:r>
        <w:rPr>
          <w:rFonts w:ascii="Times New Roman;serif" w:hAnsi="Times New Roman;serif"/>
          <w:b/>
          <w:color w:val="000000"/>
          <w:sz w:val="20"/>
        </w:rPr>
        <w:t xml:space="preserve">13. </w:t>
      </w:r>
      <w:r>
        <w:rPr>
          <w:rFonts w:ascii="Times New Roman;serif" w:hAnsi="Times New Roman;serif"/>
          <w:b/>
          <w:color w:val="000000"/>
          <w:sz w:val="20"/>
          <w:shd w:fill="FFFFFF" w:val="clear"/>
        </w:rPr>
        <w:t xml:space="preserve">INCOME TAXES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is recorded at the end of each interim period based on our best estimate of our effective income tax rate expected to be applicable for the full fiscal year. Our effective income tax rate was (2)% and 19% for the six months ended June 30, 2026 and 2025, respectively. The decrease in the tax rate is due to changes in the valuation allowance and state income tax effects. For the six months ended June 30, 2026, the Company’s effective income tax rate differed from the U.S. statutory rate of 21% primarily due to non-deductible fair value changes and changes in valuation allowance. For the six months ended June 30, 2025, the Company’s effective income tax rate differed from the U.S. statutory rate of 21% primarily due to non-deductible fair value changes. As of June 30, 2026 and December 31, 2025, we did not have any uncertain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14. RELATED PARTY TRANSACTIONS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Board Consulting Agreements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we engaged two members of the Board under consulting agreements, one of whom has since ceased to serve on the Board. During the three and six months ended June 30, 2026, the expenses incurred for these consulting services were $0.1 million and $0.3 million, respectively, and during the three and six months ended June 30, 2025, the expenses incurred for these consulting services were $0.2 million and $0.4 million, respectively. These expenses are recognized as general and administrative expenses within our unaudited condensed consolidated statements of operations and comprehensive loss. Additionally, one board member shall receive restricted stock units with a grant date fair market value of $0.3 million if the Company signs a definitive agreement related to a significant merger and acquisition transaction.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Trina Group</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related party balances and transactions with Trina Solar and its affiliates (the “Trina Group”) as a result of the Trina Business Combination and through the normal course of business.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PV solar module gross sales of $261.5 million and $450.2 million to the Trina Group are presented as net sales - related party for the three and six months ended June 30, 2026, respectively. Net sales - related party for the three and six months ended June 30, 2026, are reduced for amortization of $11.4 million and $22.7 million, respectively, for the intangible asset related to a favorable acquired customer contract that was recorded as part of purchase accounting for the Trina Business Combination. PV solar module gross sales of $77.7 million and $142.3 million to the Trina Group are presented as net sales - related party for the three and six months ended June 30, 2025, respectively. Net sales - related party for the three and six months ended June 30, 2025, are reduced for amortization of $11.3 million and $22.5 million, respectively, for the intangible asset related to a favorable acquired customer contract that was recorded as part of purchase accounting for the Trina Business Combination.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from offtake agreements with the Trina Group was $150.4 million and $56.7 million as of June 30, 2026 and December 31, 2025, respectively. The Company has agreements with the Trina Group to supply certain materials and components used in our PV solar module production, provide operational support and sales agency and aftermarket services. Total purchases from Trina Group under the supply agreements were $428.1 million and $87.0 million for the six months ended June 30, 2026 and 2025, respectively.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incurred $10.1 million and $18.6 million, respectively, in costs which were presented as selling, general and administrative expenses. For the three and six months ended June 30, 2025 we incurred $21.8 million and $27.9 million, respectively, in costs which were presented as selling, general and administrative expense.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receivable, accrued liabilities, and accounts payable with the Trina Group consisted of the following (in thousands):</w:t>
      </w:r>
    </w:p>
    <w:tbl>
      <w:tblPr>
        <w:tblW w:w="7416" w:type="dxa"/>
        <w:jc w:val="left"/>
        <w:tblInd w:w="0" w:type="dxa"/>
        <w:tblLayout w:type="fixed"/>
        <w:tblCellMar>
          <w:top w:w="28" w:type="dxa"/>
          <w:left w:w="28" w:type="dxa"/>
          <w:bottom w:w="28" w:type="dxa"/>
          <w:right w:w="28" w:type="dxa"/>
        </w:tblCellMar>
      </w:tblPr>
      <w:tblGrid>
        <w:gridCol w:w="1347"/>
        <w:gridCol w:w="1184"/>
        <w:gridCol w:w="1188"/>
        <w:gridCol w:w="109"/>
        <w:gridCol w:w="109"/>
        <w:gridCol w:w="109"/>
        <w:gridCol w:w="424"/>
        <w:gridCol w:w="424"/>
        <w:gridCol w:w="426"/>
        <w:gridCol w:w="109"/>
        <w:gridCol w:w="109"/>
        <w:gridCol w:w="109"/>
        <w:gridCol w:w="517"/>
        <w:gridCol w:w="517"/>
        <w:gridCol w:w="735"/>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due from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98,645 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84,481 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99,327 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67,602 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95,152 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have a debt obligation to Trina Group for the Production Reservation Fee and we have provided Trina Group with the Anti-Dilution Right and Capital Raising Anti-Dilution Right as further described in Note 6 – Debt and Note 10 – Redeemable Preferred Stock, Anti-Dilution Right, and Share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Other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2025, we also entered into a contract with Pareto Securities AS, of which the son of Einar Kilde, our former Chief Development Officer, is an equity partner, to act as a broker with respect to the sale of certain assets held in our European business and to perform valuation services of those assets. During the three and six months ended June 30, 2025, we paid less than $0.1 million in retainer fees to Pareto Securities AS with no comparable amounts in 2026. Additionally, Pareto Securities AS shall receive a minimum broker fee of $0.8 million if there is a completed sale, which is subject to increase based on certain conditions as outlined in the contract. The retainer fee shall be deductible from the broker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15. NET LOSS PER SHARE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basic net loss per share for the three and six months ended June 30, 2026 and 2025, was computed by dividing net loss attributable to common stockholders by the weighted-average shares of common stock outstanding.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dividends were declared or paid for the three and six months ended June 30, 2026 and 2025.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adjusts basic net loss per share to give effect to all potential common shares that were dilutive and outstanding during the period. The treasury stock method was used to assess our warrants and share-based payment awards, while the if-converted method was used to assess our shares of redeemable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amounts related to our European businesses that had previously been classified as held for sale as of December 31, 2024 were reclassified to held and used during the year ended December 31, 2025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loss per share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661"/>
        <w:gridCol w:w="1404"/>
        <w:gridCol w:w="1410"/>
        <w:gridCol w:w="109"/>
        <w:gridCol w:w="109"/>
        <w:gridCol w:w="109"/>
        <w:gridCol w:w="211"/>
        <w:gridCol w:w="773"/>
        <w:gridCol w:w="109"/>
        <w:gridCol w:w="109"/>
        <w:gridCol w:w="109"/>
        <w:gridCol w:w="109"/>
        <w:gridCol w:w="211"/>
        <w:gridCol w:w="773"/>
        <w:gridCol w:w="109"/>
        <w:gridCol w:w="109"/>
        <w:gridCol w:w="109"/>
        <w:gridCol w:w="109"/>
        <w:gridCol w:w="211"/>
        <w:gridCol w:w="773"/>
        <w:gridCol w:w="109"/>
        <w:gridCol w:w="109"/>
        <w:gridCol w:w="109"/>
        <w:gridCol w:w="109"/>
        <w:gridCol w:w="211"/>
        <w:gridCol w:w="773"/>
        <w:gridCol w:w="159"/>
      </w:tblGrid>
      <w:tr>
        <w:trPr/>
        <w:tc>
          <w:tcPr>
            <w:tcW w:w="166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 basic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ordinary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from continuing operations - basic and 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discontinued operations, net of tax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outstanding securities that could potentially dilute basic net loss per share in the future that were not included in the computation of diluted net loss per share as the impact would be anti-dilutive are as follows (in thousands):</w:t>
      </w:r>
    </w:p>
    <w:tbl>
      <w:tblPr>
        <w:tblW w:w="10205" w:type="dxa"/>
        <w:jc w:val="left"/>
        <w:tblInd w:w="0" w:type="dxa"/>
        <w:tblLayout w:type="fixed"/>
        <w:tblCellMar>
          <w:top w:w="28" w:type="dxa"/>
          <w:left w:w="28" w:type="dxa"/>
          <w:bottom w:w="28" w:type="dxa"/>
          <w:right w:w="28" w:type="dxa"/>
        </w:tblCellMar>
      </w:tblPr>
      <w:tblGrid>
        <w:gridCol w:w="1605"/>
        <w:gridCol w:w="1409"/>
        <w:gridCol w:w="1417"/>
        <w:gridCol w:w="109"/>
        <w:gridCol w:w="109"/>
        <w:gridCol w:w="109"/>
        <w:gridCol w:w="412"/>
        <w:gridCol w:w="414"/>
        <w:gridCol w:w="199"/>
        <w:gridCol w:w="199"/>
        <w:gridCol w:w="199"/>
        <w:gridCol w:w="199"/>
        <w:gridCol w:w="360"/>
        <w:gridCol w:w="361"/>
        <w:gridCol w:w="199"/>
        <w:gridCol w:w="109"/>
        <w:gridCol w:w="109"/>
        <w:gridCol w:w="109"/>
        <w:gridCol w:w="412"/>
        <w:gridCol w:w="414"/>
        <w:gridCol w:w="176"/>
        <w:gridCol w:w="173"/>
        <w:gridCol w:w="173"/>
        <w:gridCol w:w="173"/>
        <w:gridCol w:w="360"/>
        <w:gridCol w:w="361"/>
        <w:gridCol w:w="176"/>
        <w:gridCol w:w="160"/>
      </w:tblGrid>
      <w:tr>
        <w:trPr/>
        <w:tc>
          <w:tcPr>
            <w:tcW w:w="16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(on an as converted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5.25% Convertible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Convertible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Convertible note - related party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EDGE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126,126 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16.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2024, we determined that the assets of our European businesses and our Coweta County, Georgia, business met the criteria for classification as held for sale. Additionally, we concluded that the ultimate disposal will represent a strategic shift that will have a major effect on the Company’s operations and financial results. As of June 30, 2026, the remaining assets, other than certain amounts reclassified to held and used, continue to meet the criteria for classification as held for sale. Refer to Note 1 – Summary of Significant Accounting Policies for further details. The historical results of the businesses that continue to meet the criteria for held for sale are classified as discontinued operations for all periods presented herein.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15, 2025, we completed the sale of our land in Coweta County, Georgia, for $50.0 million and concurrently repaid a government grant of $20.0 million, which resulted in a $5.7 million gain for the six months ended June 30, 2025, which was recorded in other income, net in our unaudited condensed consolidated statement of operations and comprehensive loss. As of June 30, 2026 and December 31, 2025, $7.0 million of repayable government grants for the project were classified within current liabilities of discontinued operations on our unaudited condensed consolidated balance sheets.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Transaction Agreement, we agreed to use reasonable efforts to dispose of, divest, transfer, or otherwise sell the assets and operations that constitute our European business within six months of December 23, 2024. Unless waived by the counterparty in writing, we expect to incur fees of $2.0 million per month until the business is disposed of. Additionally, if the total consideration received through the disposal is less than $45.0 million, we will owe fees equal to 19.9% of the shortfall.</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certain of our European business assets remain unsold and continue to be held for sale. The historical results of this business are classified as discontinued operations in our unaudited condensed consolidated financial statements. Due to the terms of the Transaction Agreement that require us to sell our European business, we have accrued estimated fees of $41.2 million and $26.8 million as of June 30,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taxes, are as follows (in thousands):</w:t>
      </w:r>
    </w:p>
    <w:tbl>
      <w:tblPr>
        <w:tblW w:w="9794" w:type="dxa"/>
        <w:jc w:val="left"/>
        <w:tblInd w:w="0" w:type="dxa"/>
        <w:tblLayout w:type="fixed"/>
        <w:tblCellMar>
          <w:top w:w="28" w:type="dxa"/>
          <w:left w:w="28" w:type="dxa"/>
          <w:bottom w:w="28" w:type="dxa"/>
          <w:right w:w="28" w:type="dxa"/>
        </w:tblCellMar>
      </w:tblPr>
      <w:tblGrid>
        <w:gridCol w:w="1663"/>
        <w:gridCol w:w="1457"/>
        <w:gridCol w:w="1469"/>
        <w:gridCol w:w="211"/>
        <w:gridCol w:w="691"/>
        <w:gridCol w:w="109"/>
        <w:gridCol w:w="109"/>
        <w:gridCol w:w="109"/>
        <w:gridCol w:w="109"/>
        <w:gridCol w:w="211"/>
        <w:gridCol w:w="616"/>
        <w:gridCol w:w="109"/>
        <w:gridCol w:w="109"/>
        <w:gridCol w:w="109"/>
        <w:gridCol w:w="109"/>
        <w:gridCol w:w="211"/>
        <w:gridCol w:w="796"/>
        <w:gridCol w:w="109"/>
        <w:gridCol w:w="109"/>
        <w:gridCol w:w="109"/>
        <w:gridCol w:w="109"/>
        <w:gridCol w:w="211"/>
        <w:gridCol w:w="796"/>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loss of equity method investee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Allocated general corporate overhead costs do not meet the criteria to be presented within net loss from discontinued operations, net of tax, and were excluded from all figures presented in the table above.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assets and liabilities of discontinued operations classified as held for sale in our unaudited condensed consolidated balance sheets are as follows (in thousands):</w:t>
      </w:r>
    </w:p>
    <w:tbl>
      <w:tblPr>
        <w:tblW w:w="7478" w:type="dxa"/>
        <w:jc w:val="left"/>
        <w:tblInd w:w="0" w:type="dxa"/>
        <w:tblLayout w:type="fixed"/>
        <w:tblCellMar>
          <w:top w:w="28" w:type="dxa"/>
          <w:left w:w="28" w:type="dxa"/>
          <w:bottom w:w="28" w:type="dxa"/>
          <w:right w:w="28" w:type="dxa"/>
        </w:tblCellMar>
      </w:tblPr>
      <w:tblGrid>
        <w:gridCol w:w="1368"/>
        <w:gridCol w:w="1202"/>
        <w:gridCol w:w="1210"/>
        <w:gridCol w:w="109"/>
        <w:gridCol w:w="109"/>
        <w:gridCol w:w="109"/>
        <w:gridCol w:w="258"/>
        <w:gridCol w:w="883"/>
        <w:gridCol w:w="133"/>
        <w:gridCol w:w="109"/>
        <w:gridCol w:w="109"/>
        <w:gridCol w:w="109"/>
        <w:gridCol w:w="344"/>
        <w:gridCol w:w="1175"/>
        <w:gridCol w:w="251"/>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62,030 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our unaudited condensed consolidated statements of cash flows. Cash flow and non-cash information for the discontinued operations are as follows (in thousands):</w:t>
      </w:r>
    </w:p>
    <w:tbl>
      <w:tblPr>
        <w:tblW w:w="7608" w:type="dxa"/>
        <w:jc w:val="left"/>
        <w:tblInd w:w="0" w:type="dxa"/>
        <w:tblLayout w:type="fixed"/>
        <w:tblCellMar>
          <w:top w:w="28" w:type="dxa"/>
          <w:left w:w="28" w:type="dxa"/>
          <w:bottom w:w="28" w:type="dxa"/>
          <w:right w:w="28" w:type="dxa"/>
        </w:tblCellMar>
      </w:tblPr>
      <w:tblGrid>
        <w:gridCol w:w="1813"/>
        <w:gridCol w:w="1595"/>
        <w:gridCol w:w="1601"/>
        <w:gridCol w:w="109"/>
        <w:gridCol w:w="109"/>
        <w:gridCol w:w="109"/>
        <w:gridCol w:w="360"/>
        <w:gridCol w:w="361"/>
        <w:gridCol w:w="176"/>
        <w:gridCol w:w="172"/>
        <w:gridCol w:w="172"/>
        <w:gridCol w:w="172"/>
        <w:gridCol w:w="308"/>
        <w:gridCol w:w="308"/>
        <w:gridCol w:w="243"/>
      </w:tblGrid>
      <w:tr>
        <w:trPr/>
        <w:tc>
          <w:tcPr>
            <w:tcW w:w="18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return of property and equipment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17. SEGMENTS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single operating segment derives its revenues from the manufacturing and sale of PV solar modules. Accordingly, our chief operating decision maker (“CODM”), the Chief Executive Officer and Chairman of the Board, manages the Company’s business activities as a single operating and reportable segment at the consolidated level. Our CODM uses consolidated net loss to measure segment profit or loss, allocate resources, and assess performance. Further, our CODM reviews and utilizes certain significant segment expenses at the consolidated level to manage the Company’s operations. Our CODM uses these metrics to evaluate future acquisitions of complementary businesses and divestitures of non-core assets.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unaudited condensed consolidated balance sheets as total assets. We do not have intra-entity transactions. Segment results are as follows (in thousands):</w:t>
      </w:r>
    </w:p>
    <w:tbl>
      <w:tblPr>
        <w:tblW w:w="8639" w:type="dxa"/>
        <w:jc w:val="left"/>
        <w:tblInd w:w="0" w:type="dxa"/>
        <w:tblLayout w:type="fixed"/>
        <w:tblCellMar>
          <w:top w:w="28" w:type="dxa"/>
          <w:left w:w="28" w:type="dxa"/>
          <w:bottom w:w="28" w:type="dxa"/>
          <w:right w:w="28" w:type="dxa"/>
        </w:tblCellMar>
      </w:tblPr>
      <w:tblGrid>
        <w:gridCol w:w="1093"/>
        <w:gridCol w:w="962"/>
        <w:gridCol w:w="9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The significant segment expenses and amounts herein align with the segment-level information that is regularly provided to our CODM.</w:t>
      </w:r>
    </w:p>
    <w:p>
      <w:pPr>
        <w:pStyle w:val="TextBody"/>
        <w:bidi w:val="0"/>
        <w:spacing w:lineRule="auto" w:line="240" w:before="0" w:after="180"/>
        <w:ind w:left="0" w:right="0" w:hanging="270"/>
        <w:jc w:val="both"/>
        <w:rPr/>
      </w:pPr>
      <w:r>
        <w:rPr>
          <w:rFonts w:ascii="Times New Roman;serif" w:hAnsi="Times New Roman;serif"/>
          <w:b w:val="false"/>
          <w:color w:val="000000"/>
          <w:sz w:val="13"/>
        </w:rPr>
        <w:t>(2)    </w:t>
      </w:r>
      <w:r>
        <w:rPr>
          <w:rFonts w:ascii="Times New Roman;serif" w:hAnsi="Times New Roman;serif"/>
          <w:b w:val="false"/>
          <w:color w:val="000000"/>
          <w:sz w:val="20"/>
        </w:rPr>
        <w:t>Other segment items includes warrant liability fair value adjustment, impairment of intangible assets, impairment of assets previously classified as held for sale, derivative liabilities fair value adjustment, and other income, net, from our unaudited condensed consolidated statements of operations and comprehensive loss.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Within our single segment, total expenditures for additions to long-lived assets were $97.7 million and $1.2 million for the three months ended June 30, 2026 and 2025, respectively, and $155.1 million and $29.7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 2026, we entered into a definitive agreement to acquire KORE Power, Inc., an established engineering-focused Battery Energy Storage Systems (BESS) and software solutions provider (“KORE”). This transaction closed on July 1, 2026. The purchase enterprise value for the transaction consists of approximately $32.0 million of equity, cash, and assumption of debt, including approximately $9.6 million of closing consideration to be paid in common stock of the Company (subject to certain purchase price adjustments). The approximate closing consideration was initially calculated on June 2, 2026 and assumed (a) $13.1 million of debt to be settled at or prior to closing and (b) $4.5 million of a pre-existing note receivable KORE owed to the Company. Subsequently, we lent an additional $4.1 million to KORE, prior to closing. Therefore, at closing, the note receivable from KORE to the Company was $8.6 million. The transaction also includes a total potential $9.6 million earn-out for fiscal years 2026 and 2027 payable in common stock of the Company, subject to certain performance metrics, plus a potential $5.5 million paid in common stock of the Company if a certain receivable has been paid to KORE by the payment date for the 2026 earn-out amount (regardless of if the 2026 earn-out is payable). Due to the proximity of the acquisition date and our filing of this Quarterly Report on Form 10-Q for the three and six months ended June 30, 2026, the initial accounting for the business combination is incomplete. Accordingly, we are unable to disclose the allocation of purchase consideration amount to the assets acquired and liabilities assumed.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2026, our Public and Private Warrants expired. On July 10, 2026, the New York Stock Exchange filed a Form 25 to delist the Company's warrants ("TE WS") and remove such securities from registration under Section 12(b) of the Exchange Act.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27, 2026, T1 G1 Dallas Solar Module LLC, a wholly owned subsidiary of the Company (the “Borrower”), entered into that certain Waiver, Consent and Amendment No. 8 to Credit Agreement (the “Eighth Amendment”), by and among the Borrower, the lenders party thereto and HSBC Bank USA, N.A., as administrative and collateral agent, which amends that the Credit Agreement. The Eighth Amendment, among other things, (i) amends the Credit Agreement to modify or remove certain requirements relating to Trina Solar Energy Development Pte. Ltd’s (“TED”) (x) ownership of the Company’s common stock and (y) maintenance of directors appointed by TED on the Company’s board of directors and (ii) provide certain waivers and consents by the requisite lenders relating to the foregoing. The Eighth Amendment became effective upon the closing of the offering of the Company’s 4.75% Convertible Notes due 2031 (as defined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we acquired certain solar patents and other intellectual property rights from Evervolt Green Energy Holding Pte Ltd. (“Evervolt”) for total consideration of $135.0 million. We paid $2.0 million on July 27, 2026 in cash and the remaining purchase price is paid or payable by the Company in four tranches: (i) $60.0 million, which was paid in shares of common stock of the Company on July 31, 2026; (ii) $25.0 million, payable on September 30, 2026; (iii) $30.0 million, payable on October 15, 2026; and (iv) $18.0 million, payable on October 30, 2026.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remaining tranches are payable, at the Company’s election, (a) in cash, (b) by the issuance of our common stock, pursuant to the terms of the agreement with Evervolt, or by a mutually agreed-to ratio of (a) and (b).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we completed a private placement of $120.0 million aggregate principal amount of the Company’s 4.75% Convertible Senior Notes due 2031 (the “4.75% Convertible Notes due 2031”) to certain qualified institutional buyers.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4.75% Convertible Notes due 2031 are senior unsecured obligations of the Company and bear interest of 4.75% per year, payable semi-annually in arrears on February 1 and August 1 of each year, beginning on February 1, 2027. The 4.75% Convertible Notes due 2031 will mature on August 1, 2031, unless earlier repurchased, redeemed or converted.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should be read in conjunction with our unaudited condensed consolidated financial statements and the accompanying notes thereto contained in Part I, Item 1 “Financial Statements” and the other disclosures in this Quarterly Report on Form 10-Q and with the disclosures in our Annual Report on Form 10-K for the year ended December 31, 2025, which was filed with the Securities and Exchange Commission (“SEC”) on March 31, 2026, as amended and supplemented by Amendment No. 1 of Form 10-K/A filed with the SEC on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a Delaware corporation (“T1”, the “Company”, “we”, or “us”), is an energy solutions provider building an integrated U.S. supply chain for solar modules and cells. We currently manufacture and sell photovoltaic (“PV”) solar modules.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one of the leading solar manufacturing companies in the United States, primarily selling into the utility-scale market, the largest solar market segment in the U.S. We produce PV solar modules that employ highly energy efficient Passivated Emitter and Rear Contact and Tunnel Oxide Passivated Contact (“TOPCon”) technologies. Our PV solar module manufacturing facility operating in Wilmer, TX (“G1_Dallas”) has a total annual nameplate production capacity of five gigawatts. We believe our facility is one of the most technologically advanced PV solar module plants globally and has achieved annualized run rates above its nameplate capacity. To further expand our U.S. manufacturing footprint, we began construction in December 2025 of the first 2.1-gigawatt phase of our solar cell manufacturing fab in Milam County, Texas (“G2_Austin”). This facility is anticipated to begin production in the first quarter of 2027 of high-efficiency TOPCon solar cells that will be used in the PV solar modules manufactured at G1_Dallas.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total net sales of $250.1 million and $427.8 million, respectively. Additionally, we ended the second quarter with cash, cash equivalents, and restricted cash of $156.4 million.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we completed a public offering of $184.0 million aggregate principal amount of the Company’s 4.00% Convertible Senior Notes due 2031 (the “4.00% Convertible Notes due 2031”), which included $24.0 million aggregate principal amount of 4.00% Convertible Notes due 2031, pursuant to the underwriters’ option to cover over-allotments.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4.00% Convertible Notes due 2031 are senior unsecured obligations of the Company and bear interest of 4.00% per year, payable semi-annually in arrears on April 15 and October 15 of each year, beginning on October 15, 2026. The 4.00% Convertible Notes due 2031 will mature on April 15, 2031, unless earlier repurchased, redeemed or converted.</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 2026, we entered into a definitive agreement to acquire KORE Power, Inc., an established engineering-focused Battery Energy Storage Systems (BESS) and software solutions provider (“KORE”). This transaction closed on July 1, 2026. The purchase enterprise value for the transaction consists of approximately $32.0 million of equity, cash, and assumption of debt, including approximately $9.6 million of closing consideration to be paid in common stock of the Company (subject to certain purchase price adjustments). The approximate closing consideration was initially calculated on June 2, 2026 and assumed (a) $13.1 million of debt to be settled on or prior to closing and (b) $4.5 million of a pre-existing note receivable KORE owed to the Company. Subsequently, we lent an additional $4.1 million to KORE, prior to closing. Therefore, at closing, the note receivable from KORE to the Company was $8.6 million. The pre-existing note receivable is expected to be reduced to zero as part of purchase accounting. The transaction also includes a total potential $9.6 million earn-out for fiscal years 2026 and 2027 payable in common stock of the Company, subject to certain performance metrics, plus a potential $5.5 million paid in common stock of the Company if a certain receivable has been paid to KORE by the payment date for the 2026 earn-out amount (regardless of if the 2026 earn-out is payable).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9, 2026, our Public and Private Warrants expired. On July 10, 2026, the New York Stock Exchange filed a Form 25 to delist the Company's warrants ("TE WS") and remove such securities from registration under Section 12(b) of the Securities Exchange Act of 1934, as amended.</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27, 2026, T1 G1 Dallas Solar Module LLC, a wholly owned subsidiary of the Company (the “Borrower”), entered into that certain Waiver, Consent and Amendment No. 8 to Credit Agreement (the “Eighth Amendment”), by and among the Borrower, the lenders party thereto and HSBC Bank USA, N.A., as administrative and collateral agent (in such capacity, the “Agent”), which amends the senior secured credit agreement governing our $235.0 million senior secured credit facility with a consortium of banks, with HSBC Bank USA, N.A. serving as Agent (as amended, the “Credit Agreement”). The Eighth Amendment, among other things, (i) amends the Credit Agreement to modify or remove certain requirements relating to Trina Solar Energy Development Pte. Ltd’s (“TED”) (x) ownership of the Company’s common stock and (y) maintenance of directors appointed by TED on the Company’s board of directors and (ii) provide certain waivers and consents by the requisite lenders relating to the foregoing. The Eighth Amendment became effective upon the closing of the offering of the Company’s 4.75% Convertible Notes due 2031 (as defined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we acquired certain solar patents and other intellectual property rights from Evervolt Green Energy Holding Pte Ltd. (“Evervolt”) for total consideration of $135.0 million. We paid $2.0 million on July 27, 2026 in cash and the remaining purchase price is paid or payable by the Company in four tranches: (i) $60.0 million, which was paid in shares of common stock of the Company on July 31, 2026; (ii) $25.0 million, payable on September 30, 2026; (iii) $30.0 million, payable on October 15, 2026; and (iv) $18.0 million, payable on October 30, 2026.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remaining tranches are payable, at the Company’s election, (a) in cash, (b) by the issuance of our common stock pursuant to the terms of the agreement with Evervolt, or by a mutually agreed-to ratio of (a) and (b).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we completed a private placement of $120.0 million aggregate principal amount of the Company’s 4.75% Convertible Senior Notes due 2031 (the “4.75% Convertible Notes due 2031”) to certain qualified institutional buyers.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4.75% Convertible Notes due 2031 are senior unsecured obligations of the Company and bear interest of 4.75% per year, payable semi-annually in arrears on February 1 and August 1 of each year, beginning on February 1, 2027. The 4.75% Convertible Notes due 2031 will mature on August 1, 2031, unless earlier repurchased, redeemed or converted.</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Regulatory and macroeconomic updates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 actions, and retaliatory tariffs imposed by other countries on U.S. goods and exports, have led to significant volatility and uncertainty in global markets. Additionally, the One Big Beautiful Bill Act (“OBBBA”) introduced new restrictions on equity and debt ownership, material assistance, operational contracts and intellectual property arrangements with Foreign-Influenced Entities (“FIEs”) and/or Specified Foreign Entities (“SFEs”) (collectively, Prohibited Foreign Entities (“PFEs”) and referred to as Foreign Entities of Concern (“FEOC”)) designed to prevent such entities from accessing tax credits available under the Inflation Reduction Act of 2022 (the “IRA”). The Company recognizes compliance with these provisions of the OBBBA as a significant regulatory and business priority, and we are focused and actively working to ensure we maintain compliance with these provisions to allow us and our customers to retain the availability of tax credits in the future.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2025, we announced a series of transactions intended to allow us to continue our eligibility for 45X Tax Credits (as defined herein) in 2026 and beyond (referred to as the “FEOC Restructuring”). In this update, we detailed our actions designed to facilitate compliance with the following requirements: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Equity</w:t>
      </w:r>
      <w:r>
        <w:rPr>
          <w:rFonts w:ascii="Times New Roman;serif" w:hAnsi="Times New Roman;serif"/>
          <w:b w:val="false"/>
          <w:color w:val="000000"/>
          <w:sz w:val="20"/>
        </w:rPr>
        <w:t>: Trina Solar (Schweiz) AG’s (“Trina Solar”) equity holdings have never exceeded the 25% limit under the OBBBA. In addition, to further bolster our compliance position, we have amended our certificate of incorporation to provide certain limits on SFE equity ownership.</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Debt</w:t>
      </w:r>
      <w:r>
        <w:rPr>
          <w:rFonts w:ascii="Times New Roman;serif" w:hAnsi="Times New Roman;serif"/>
          <w:b w:val="false"/>
          <w:color w:val="000000"/>
          <w:sz w:val="20"/>
        </w:rPr>
        <w:t>: We raised significant capital in late 2025 and have used certain of that capital, together with shares of common stock, to make a substantial debt repayment to Trina Solar. As a result, the percentage of our debt held by Trina Solar is below the relevant threshold set by the OBBBA.</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Appointment of Covered Officers</w:t>
      </w:r>
      <w:r>
        <w:rPr>
          <w:rFonts w:ascii="Times New Roman;serif" w:hAnsi="Times New Roman;serif"/>
          <w:b w:val="false"/>
          <w:color w:val="000000"/>
          <w:sz w:val="20"/>
        </w:rPr>
        <w:t>: We and Trina Solar entered into an agreement that removes Trina Solar’s previous right to appoint a covered officer.</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Effective Control</w:t>
      </w:r>
      <w:r>
        <w:rPr>
          <w:rFonts w:ascii="Times New Roman;serif" w:hAnsi="Times New Roman;serif"/>
          <w:b w:val="false"/>
          <w:color w:val="000000"/>
          <w:sz w:val="20"/>
        </w:rPr>
        <w:t>: After careful analysis and diligence, we concluded that we do not have any agreements that would render us an SFE pursuant to the “effective control” provisions of the OBBBA.</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Intellectual Property</w:t>
      </w:r>
      <w:r>
        <w:rPr>
          <w:rFonts w:ascii="Times New Roman;serif" w:hAnsi="Times New Roman;serif"/>
          <w:b w:val="false"/>
          <w:color w:val="000000"/>
          <w:sz w:val="20"/>
        </w:rPr>
        <w:t xml:space="preserve">: We previously licensed certain patents and other intellectual property from Trina Solar. Trina Solar later sold that intellectual property to Evervolt and as a result we licensed the intellectual property from Evervolt. After conducting customary diligence on Evervolt, we believe that Evervolt is not an SFE. As described further above, on July 28, 2026 we acquired such patents and other intellectual property rights from Evervolt.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Material Assistance</w:t>
      </w:r>
      <w:r>
        <w:rPr>
          <w:rFonts w:ascii="Times New Roman;serif" w:hAnsi="Times New Roman;serif"/>
          <w:b w:val="false"/>
          <w:color w:val="000000"/>
          <w:sz w:val="20"/>
        </w:rPr>
        <w:t>: After conducting supply chain diligence, we have purchased solar cells for use in a portion of our PV solar modules to be produced in 2026 from suppliers that have provided certifications of its non-PFE (“MA Compliant”) status and are undertaking diligence to help ensure the remainder of cells for use in 2026 will be MA Compliant. Our efforts to build a domestic supply chain, including domestic cells to be produced at our G2_Austin facility, domestic polysilicon from Hemlock Semiconductor, domestic wafers from Corning, and domestic steel frames from Nextpower are expected to further bolster our ongoing material assistance compliance efforts.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12, 2026, the United States Department of the Treasury released initial guidance pertaining to the implementation of PFE restrictions under the OBBBA. We believe that we remain in compliance with these restrictions and expect to be eligible for 45X Tax Credits. Such guidance is consistent with our interpretation of the relevant OBBBA provisions and validates the compliance plan that we developed and implemented.</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or increased tariffs, changes to existing legislation, and other potential trade policy developments, including with respect to enforceability, are important factors that can impact our business. Historically, tariffs have led to increased trade and political tensions. Political tensions as a result of trade 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tariffs, potential changes to existing tariffs and legislation, and whether additional tariffs may be imposed, modified, or suspended, and the impacts of such actions on our business.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leading and growing American advanced solar technology manufacturer, we broadly support tariffs that are intended to benefit the U.S. solar manufacturing industry, investment in reverse technology transfer, and onshoring of critical U.S. energy supply chains. We are specifically in favor of anti-dumping and countervailing duties (“AD/CVD”) in the “Solar 4” case as well as the forthcoming implementation of a Section 232 tariff on imported polysilicon and polysilicon derivatives. Despite our support for the new Section 232 tariffs, which are slated to go into effect on December 3, 2026, we cannot rule out the possibility that they would increase the cost of certain polysilicon derivative goods (e.g., wafers) that we may need to import in the future.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operating in an uncertain macroeconomic environment with significant volatility that may impact consumer demand. To the extent the macroeconomic environment worsens, it may have a material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on our unaudited condensed consolidated results of operations (in thousands, except percentages):</w:t>
      </w:r>
    </w:p>
    <w:tbl>
      <w:tblPr>
        <w:tblW w:w="12337" w:type="dxa"/>
        <w:jc w:val="left"/>
        <w:tblInd w:w="0" w:type="dxa"/>
        <w:tblLayout w:type="fixed"/>
        <w:tblCellMar>
          <w:top w:w="28" w:type="dxa"/>
          <w:left w:w="28" w:type="dxa"/>
          <w:bottom w:w="28" w:type="dxa"/>
          <w:right w:w="28" w:type="dxa"/>
        </w:tblCellMar>
      </w:tblPr>
      <w:tblGrid>
        <w:gridCol w:w="728"/>
        <w:gridCol w:w="352"/>
        <w:gridCol w:w="211"/>
        <w:gridCol w:w="109"/>
        <w:gridCol w:w="109"/>
        <w:gridCol w:w="109"/>
        <w:gridCol w:w="211"/>
        <w:gridCol w:w="736"/>
        <w:gridCol w:w="109"/>
        <w:gridCol w:w="109"/>
        <w:gridCol w:w="109"/>
        <w:gridCol w:w="109"/>
        <w:gridCol w:w="211"/>
        <w:gridCol w:w="736"/>
        <w:gridCol w:w="109"/>
        <w:gridCol w:w="109"/>
        <w:gridCol w:w="109"/>
        <w:gridCol w:w="109"/>
        <w:gridCol w:w="109"/>
        <w:gridCol w:w="109"/>
        <w:gridCol w:w="109"/>
        <w:gridCol w:w="211"/>
        <w:gridCol w:w="736"/>
        <w:gridCol w:w="109"/>
        <w:gridCol w:w="109"/>
        <w:gridCol w:w="109"/>
        <w:gridCol w:w="109"/>
        <w:gridCol w:w="240"/>
        <w:gridCol w:w="241"/>
        <w:gridCol w:w="271"/>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40"/>
        <w:gridCol w:w="241"/>
        <w:gridCol w:w="271"/>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(30,930)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(20,227)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379"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109"/>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consist of sales of PV solar modules net of intangible asset amortization for customer contracts. We recognize sales for PV solar modules at a point in time following the transfer of control of the modules to the customer, which typically occurs upon shipment or delivery depending on the terms of the underlying contracts.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net sales increased by $117.4 million in the three months ended June 30, 2026 and increased by $241.6 million for the six months ended June 30, 2026 compared to the same periods in 2025. We began selling PV solar modules after our acquisition of all the shares of capital stock of Trina Solar (U.S.) Holding, Inc. and related subsidiaries on December 23, 2024 (the “Trina Business Combination”). We have increased production of PV solar modules from G1_Dallas throughout 2025 after the facility became fully operational during the second quarter of 2025. As such, the increase in net sales during the three and six months ended June 30, 2026 was primarily driven by increased production volume compared to the same period in 2025.</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includes the cost of raw materials and components for manufacturing PV solar modules. In addition, our cost of sales includes direct labor for the manufacturing of PV solar modules and manufacturing overhead, such as engineering, equipment maintenance, quality and production control, and information technology. Our cost of sales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includes depreciation of manufacturing plant and equipment, facility-related expenses, environmental health and safety costs, and costs associated with shipping. These costs are offset by our generation of 45X Tax Credits.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$101.0 million in the three months ended June 30, 2026 and increased by $213.9 million for the six months ended June 30, 2026 compared to the same periods in 2025 as a direct result of increased production that correspondingly increased net sales period over period and partially offset by the recognition of $24.4 million tariff refund claims imposed under the International Emergency Economic Powers Act (“IEEPA”) during the three and six months ended June 30, 2026.</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personnel and personnel-related expenses for our sales, marketing and administrative personnel, commissions, royalty fees, costs for administrative offices, insurance, and outside professional services including legal, accounting, and other advisory services.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$9.2 million in the three months ended June 30, 2026 and increased $17.4 million for the six months ended June 30, 2026 compared to the same periods in 2025 which is primarily driven by incremental legal and other professional service expenses incurred for various transactions during the periods. </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Total other (expense) income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other income primarily consists of the fair value adjustments on our warrant and derivative liabilities, and interest expense, net.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income decreased by $7.6 million in three months ended June 30, 2026 and increased $1.8 million for the six months ended June 30, 2026 compared to the same periods in 2025.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for the three months ended June 30, 2026 is primarily due to a decrease in interest expense of $1.3 million, decrease in gain on warrant liability fair value adjustment of $2.6 million, decrease in other income of $1.5 million, and decrease in gain on derivatives liability fair value adjustment of $6.5 million.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for the six months ended June 30, 2026 is primarily due to a decrease in interest expense of $5.0 million, an increase in gain on warrant liability fair value adjustment of $6.2 million, increase in other income of $0.3 million, and a decrease in gain on derivatives liability fair value adjustment of $11.8 million.</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Net loss from discontinued operations, net of tax</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concluded that certain assets of our European businesses and our business in Coweta County, Georgia met the criteria for classification as held for sale as of December 31, 2024 and 2025. Additionally, we concluded that the ultimate disposal of these businesses represent a strategic shift that has had a major effect on our operations, resulting in the presentation of the historical financial results of these businesses as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 increased by $5.9 million in three months ended June 30, 2026 and increased $20.2 million for the six months ended June 30, 2026 compared to the same periods in 2025. The increase primarily relates to an accrual of estimated penalties associated with the expected disposal of our European businesses and an increase in valuation allowance for assets classified as held for sale within discontinued operations, along with the impact of the gain from the sale of land in Coweta County that was recognized in the first quarter of 2025 with no comparable amount in the first quarter of 2026. These amounts are offset by a reduction in general and administrative expenses for our European businesses for the comparable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approximately $156.4 million of cash, cash equivalents, and restricted cash. Additionally, on July 31, 2026 we completed a private placement of $120.0 million aggregate principal amount of the Company’s 4.75% Convertible Senior Notes due 2031, as described under “Recent Developments”. Our principal sources of liquidity are cash and cash equivalents, issuances of equity, equity-linked debt and debt securities, cash flows from operating activities and amounts received from government tax credits and incentives.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we have sufficient liquidity to meet our contractual obligations and commitments for at least the next 12 months from the issuance of these financial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liquidity requirements depend on many factors, including the timing and extent of the following: capital expenditures for construction of future facilities and purchase of related equipment; spending on other growth initiatives; spending to support revenue generating activities; and general economic conditions. In addition to those activities, our short-term liquidity will be utilized to fund the current portion of non-cancellable commitments including leases and debt obligations.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evaluate the extent of benefits available to us by the IRA, which are expected to favorably impact our liquidity and capital resources in future periods. For example, we currently expect to qualify for the Advanced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Manufacturing Production Credit (the “45X Tax Credit”) under Section 45X of the Internal Revenue Code of 1986, as amended (the “IRC”), which provides certain specified benefits for PV solar modules and PV solar module components manufactured in the United States and sold to third parties. Such credit may be refundable by the Internal Revenue Service (the “IRS”) or transferable to a third party and is available from 2023 to 2032, subject to phase down beginning in 2030. Based on the current form factor of our modules, we expect to qualify for a credit of approximately 7 cents per watt for each module produced in the United States and sold to a third party. Accordingly, we expect the 45X Tax Credits we generate will continue to provide us with a significant source of funding. Any changes to the statutes or regulatory guidance regarding Section 45X of the IRC arising, for example, through (i) technical guidance and regulations from the IRS and U.S. Treasury Department, (ii) subsequent amendments to or interpretations of the law by the IRS, the U.S. Treasury Department, or the courts, (iii) future laws or regulations rendering certain provisions of the IRA less effective or ineffective, in whole or in part, or (iv) changes to U.S. government priorities, policies, or initiatives, could materially adversely impact our financial condition, results of operations, and cash flows. In June 2026, we entered into an agreement for the sale of approximately $39.1 million of the remaining 45X Tax Credits we generated during 2025 for an aggregate purchase price of $36.4 million.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operating plan requires the repayment of non-cancellable commitments including leases and debt obligations. In addition, our planned investments in our business and manufacturing footprint, as currently devised, will require significant financing to complete. Such financing may not be available at terms acceptable to us, or at all. The credit market and financial services industry have in the past, and may in the future, experience periods of uncertainty that could impact the availability and cost of equity, equity-linked debt and debt financing. If we are unable to raise substantial additional capital, our ability to invest in further facilities or other development projects will be significantly delayed or curtailed which would have a material adverse impact on 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 operations. If we raise funds by issuing equity or equity-linked securities, dilution to stockholders may result. Any equity securities issued may also provide for rights, preferences, or privileges senior to those of holders of our common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decided to develop our planned G2_Austin solar cell manufacturing facility in two phases. Each phase is a standalone development with limited shared infrastructure. We also believe we are positioned to flex capacity in the future to develop up to three phases at G2_Austin, potentially totaling as many as 8 gigawatts on our existing leasehold.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Following the initial completion of detailed project engineering, the first phase of G2_Austin is expected to total 2.1 gigawatts of annual production capacity with an estimated capital expenditure of approximately $510 million, </w:t>
      </w:r>
      <w:r>
        <w:rPr>
          <w:rFonts w:ascii="Times New Roman;serif" w:hAnsi="Times New Roman;serif"/>
          <w:b w:val="false"/>
          <w:color w:val="0F0E12"/>
          <w:sz w:val="20"/>
        </w:rPr>
        <w:t>which includes a 20% contingency. The increased estimated capital expenditures are due to labor and materials costs associated with tightness in the Texas data center construction market</w:t>
      </w:r>
      <w:r>
        <w:rPr>
          <w:rFonts w:ascii="Times New Roman;serif" w:hAnsi="Times New Roman;serif"/>
          <w:b w:val="false"/>
          <w:color w:val="000000"/>
          <w:sz w:val="20"/>
        </w:rPr>
        <w:t xml:space="preserve">. We are currently targeting a comprehensive financing solution, which includes a significant debt component, in an amount sufficient to fund the remaining estimated capital expenditure required for the first phase of G2_Austin. However, there can be no assurance that we will timely secure a comprehensive financing solution on favorable terms, or at all.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planned capital expenditures are based on management’s current estimates and may be subject to change. There can be no assurance that we will 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 control, including the availability of financing. As a result, actual capital expenditures in future years may differ materially from the amounts discussed above.</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 xml:space="preserve">Cash Flow Summary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9973" w:type="dxa"/>
        <w:jc w:val="left"/>
        <w:tblInd w:w="0" w:type="dxa"/>
        <w:tblLayout w:type="fixed"/>
        <w:tblCellMar>
          <w:top w:w="28" w:type="dxa"/>
          <w:left w:w="28" w:type="dxa"/>
          <w:bottom w:w="28" w:type="dxa"/>
          <w:right w:w="28" w:type="dxa"/>
        </w:tblCellMar>
      </w:tblPr>
      <w:tblGrid>
        <w:gridCol w:w="1525"/>
        <w:gridCol w:w="1343"/>
        <w:gridCol w:w="1347"/>
        <w:gridCol w:w="109"/>
        <w:gridCol w:w="109"/>
        <w:gridCol w:w="109"/>
        <w:gridCol w:w="449"/>
        <w:gridCol w:w="451"/>
        <w:gridCol w:w="176"/>
        <w:gridCol w:w="175"/>
        <w:gridCol w:w="175"/>
        <w:gridCol w:w="175"/>
        <w:gridCol w:w="398"/>
        <w:gridCol w:w="398"/>
        <w:gridCol w:w="176"/>
        <w:gridCol w:w="109"/>
        <w:gridCol w:w="109"/>
        <w:gridCol w:w="109"/>
        <w:gridCol w:w="449"/>
        <w:gridCol w:w="451"/>
        <w:gridCol w:w="211"/>
        <w:gridCol w:w="211"/>
        <w:gridCol w:w="211"/>
        <w:gridCol w:w="211"/>
        <w:gridCol w:w="211"/>
        <w:gridCol w:w="211"/>
        <w:gridCol w:w="21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 vs 2025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bl>
    <w:tbl>
      <w:tblPr>
        <w:tblW w:w="2052" w:type="dxa"/>
        <w:jc w:val="left"/>
        <w:tblInd w:w="0" w:type="dxa"/>
        <w:tblLayout w:type="fixed"/>
        <w:tblCellMar>
          <w:top w:w="28" w:type="dxa"/>
          <w:left w:w="28" w:type="dxa"/>
          <w:bottom w:w="28" w:type="dxa"/>
          <w:right w:w="28" w:type="dxa"/>
        </w:tblCellMar>
      </w:tblPr>
      <w:tblGrid>
        <w:gridCol w:w="609"/>
        <w:gridCol w:w="534"/>
        <w:gridCol w:w="537"/>
        <w:gridCol w:w="109"/>
        <w:gridCol w:w="109"/>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$91.6 million during the six months ended June 30, 2026 compared to the six months ended June 30, 2025. The increase was primarily driven by increases in working capital that resulted in more cash used during the six months ended June 30, 2026 as compared to the six months ended June 30, 2025 related to changes in operating assets and liabilities of $112.7 million, partially offset by a decrease in net loss excluding non-cash expenses, gains and losses of $21.1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by $169.7 million during the six months ended June 30, 2026 compared to the six months ended June 30, 2025. The increase in cash used in investing activities was primarily driven by proceeds from the sale of property and equipment of $50.0 million during the six months ended June 30, 2025 relating to our land in Coweta County, Georgia with no comparable amounts for the same period in 2026, increased purchases of property and equipment of $109.9 million during the six months ended June 30, 2026, decrease of $1.2 million related to proceeds from the return of property and equipment deposits during the six months ended June 30, 2025 with no comparable amounts in six months ended June 30, 2026, and increase of $8.6 million related to the issuance of notes receivables during the six months ended June 30, 2026 with no comparable amounts in 2025. The notes receivables are expected to be eliminated in consolidation as part of purchase accounting for the acquisition of KORE during the third quarter of 2026 as described in “Recent Developments”. </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by $177.8 million during the six months ended June 30, 2026 compared to the six months ended June 30, 2025. The increase in cash provided by financing activities was primarily due to $175.7 million proceeds received from the issuance of the 4.00% Convertible Notes due 2031, net of underwriting fees, during the six months ended June 30, 2026 with no comparable amounts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consistent with those described under the heading “Management’s Discussion and Analysis of Financial Condition and Results” in our Annual Report on Form 10-K for the year ended December 31, 2025 filed with the SEC on March 31, 2026. There have been no material changes to our critical accounting estimates during the three and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disclose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rPr>
        <w:t>ITEM 4. CONTROLS AND PROCEDURES</w:t>
      </w:r>
      <w:r>
        <w:rPr>
          <w:color w:val="000000"/>
        </w:rPr>
        <w:t>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designed to ensure that information required to be disclosed by us is recorded, processed, summarized, and reported within the time periods specified in the SEC rules and forms and accumulated and communicated to management, including our Chief Executive Officer and Chief Financial Officer, as appropriate to allow timely decisions regarding required disclosure. The Company’s management carried out an evaluation, under the supervision and with the participation of our Chief Executive Officer and Chief Financial Officer, of the effectiveness of the design and operation of our disclosure controls and procedures (as such term is defined in Rules 13a-15(e) and 15d-15(e) under the Exchange Act) as of June 30, 2026. Based upon that evaluation, our Chief Executive Officer and Chief Financial Officer concluded that our disclosure controls and procedures were not effective as of June 30, 2026 due to the material weakness described below.</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this material weakness, management performed additional analysis and other procedures to help ensure that our consolidated financial statements were prepared in accordance with U.S. generally accepted accounting principles (“U.S. GAAP”). Accordingly, management believes that the consolidated financial statements included in this Quarterly Report on Form 10-Q fairly present, in all material respects, our financial position, results of operations, and cash flows as of and for the periods presented, in accordance with U.S. GAAP.</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Material Weakness</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the Company’s Annual Report on Form 10-K for the year ended December 31, 2025, management identified the following material weakness related to the Company’s G1 entity:</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Company had ineffective general information technology controls that support the consistent operation of the Company’s Oracle-based information technology (“IT”) system. Therefore, automated process-level controls and manual controls dependent upon the accuracy and completeness of information derived from that IT system were also ineffective because they could have been adversely impacted.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 xml:space="preserve">The Company did not effectively design, implement or operate process-level controls regarding revenue and inventory processes.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concluded that the material weakness was primarily attributable to deficiencies in oversight, resources, information and communication, and monitoring activities, as previously disclosed.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Remediation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has continued to execute its remediation plan during the second quarter of 2026. Remediation efforts during the quarter have primarily focused on establishing elements of the Company’s control environment, including governance, training, and financial close processes. Actions completed or initiated during the quarter include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Management continues to utilize a centralized close management platform to integrate corporate and G1 month-end and quarter-end financial close tasks. This platform is intended to support the assignment of responsibilities, identification of task dependencies, and monitoring of financial close activities.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Management, with the assistance of third-party advisors, held trainings for control owners and key personnel related to SOX compliance requirements, control documentation expectations, and control execution responsibilities.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 xml:space="preserve">Management, with the assistance of third-party advisors, completed process walkthroughs for all in-scope processes and systems to help ensure owners are aware of their defined controls, control descriptions are up-to-date, and process flowcharts reflect the current state of operations.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Management has implemented a self-certification process whereby control owners certify that controls, as designed, are in place and have been performed, or are expected to be performed, in accordance with applicable requirements. This process has been established and was executed in connection with the preparation of this Quarterly Report.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Management established procedures for reporting to executive leadership and the Audit Committee on a recurring basis regarding the effectiveness of internal controls and the status of remediation efforts.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Management has recently fulfilled various internal roles in its ongoing initiative aimed at maintaining sufficiently trained and experienced individuals.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Remediation efforts related to general information technology controls within the Company’s Oracle-based IT system and process-level controls over revenue and inventory remain ongoing. Certain elements of controls have been designed and, in some cases, implemented; however, these controls have not operated for a sufficient period of time to allow management to complete operating effectiveness testing.</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Accordingly, management has not yet concluded that the material weakness has been remediated. Management expects remediation efforts to continue throughout fiscal year 2026 and will evaluate the effectiveness of the remediated controls once they have been implemented and have operated for a sufficient period of time.</w:t>
      </w:r>
    </w:p>
    <w:p>
      <w:pPr>
        <w:pStyle w:val="TextBody"/>
        <w:bidi w:val="0"/>
        <w:spacing w:before="0" w:after="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0" w:after="180"/>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Except as described above, no changes in our internal control over financial reporting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litigation relating to claims arising in the ordinary course of our business. To the knowledge of our management, there are no material litigation, claims, or actions currently pending or threatened against us, any of our officers, or directors in their capacity as such, or against any of our property, except as described below.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5, 2025, July 1, 2025 and July 31, 2025, we received notices from U.S. Customs and Border Protection (“CBP”) relating to potential customs duties on goods imported in 2024 by one of the entities we acquired in the Trina Business Combination (the “Notices”). We have engaged with CBP on these Notices and explained why we believe they were without legal or factual merit. In March and April 2026, we received bills from CBP for alleged duties on goods imported in 2024 by the same entity acquired in the Trina Business Combination.  These bills relate to the same entries covered by some of the Notices and appear to be rooted in the same erroneous reasoning as those Notices. The Company is engaging with CBP, through outside counsel, to correct what it believes is the erroneous application of duties, including through an administrative protest with CBP filed on June 10, 2026. We are not required to pay the billed duties while pursuing this process. It is not possible at this time to predict the duration, outcome, or impact of these matters, which the Company maintains would ultimately be subject to indemnification pursuant to the Trina Business Combination.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CBP launched a program allowing importers to submit claims for refunds of tariffs imposed under the International Emergency Economic Powers Act (“IEEPA”). Two months before the launch of this program, the U.S. Supreme Court declared these tariffs invalid. The Company has incurred IEEPA tariffs and has submitted claims for refunds of $33.5 million. During the three and six months ended June 30, 2026, we concluded that the realization of $24.4 million of our claims was probable. Accordingly, we recognized this amount as a reduction to Cost of sales, $0.9 million as interest income within Other income, net and the offsetting receivable within Other current assets. While a favorable resolution of the remaining claims could positively impact results of operations in future periods, the timing and ultimate realization of these refunds remain subject to significant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2025, the Company and a Company executive and Board member (the “Individual”) received grand jury subpoenas from the DOJ, which requested the production of documents relating to the sale of the Company’s stock in the second half of 2023 on the account of the Individual, who was a director of the Company at that time. Shortly thereafter, the Company received a voluntary document request from the SEC seeking similar information. The Company believes that the relevant trades relate to stock that the Individual pledged as collateral against a personal loan, which was approved in accordance with the Company’s insider trading policy. The Company is cooperating with both the DOJ and SEC, and it is not possible at this time to predict the duration, outcome or impact of such matters.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RWE Investco EPC MGMT, LLC filed an action, dated December 19, 2025 and served January 7, 2026, against a subsidiary of the Company and TUS, in the Superior Court of the State of California for the County of San Francisco (the “Lawsuit”) alleging breach of contract claims relating to a long-term offtake agreement. We contest the allegations and intend to vigorously defend against the Lawsuit and pursue all legal remedies available to the Company, including but not limited to a Cross-Complaint filed in January 2026 asserting claims against RWE Investco EPC MGMT, LLC and seeking damages, and a complaint filed in March 2026 against RWE Aktiengesellschaft in the Supreme Court of the State of New York for the County of New York, seeking to enforce their unconditional guaranty of RWE Investco EPC MGMT, LLC’s payment obligations under the long-term offtake agreement for up to $100 million.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First Solar, Inc. initiated patent infringement proceedings in early 2026 against numerous companies in the solar industry, including a district court proceeding against T1 Energy Inc. and T1 G1 Dallas Midco Inc., alleging that such companies are and have been willfully infringing U.S. Patent No. 9,130,074 (the “’074 Patent”) by, among other actions, importing certain solar cells. Separately, also in early 2026, the International Trade Commission published a Notice of Receipt of Complaint filed by First Solar, Inc. alleging that multiple proposed respondents, including T1 Energy Inc. and T1 G1 Dallas Solar Module LLC, are knowingly and intentionally infringing the ’074 Patent by, among other actions, importing certain solar cells. In that proceeding, First Solar, Inc. has requested that the International Trade Commission issue a general exclusion order prohibiting the importation of products that infringe the ’074 Patent, which First Solar, Inc. alleges includes TOPCon solar cells, as well as cease-and-desist orders to all respondents with respect to the importation, sale, marketing, or distribution of such products. On March 31, 2026, the district court stayed its proceedings, at First Solar’s request, until the conclusion of the International Trade Commission investigation. The International Trade Commission hearing is scheduled to commence on February 16, 2027. We contest the allegations by First Solar, Inc. and will vigorously defend against them and pursue all legal remedies available to the Company.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these matters, or that we will not need to accrue or pay additional amounts in the future, which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Item 1A. “Risk Factors” of our Annual Report on Form 10-K for the year ended December 31, 2025 filed with the SEC on March 31, 2026, as amended and supplemented by Amendment No.1 on Form 10-K/A filed with the SEC on April 30, 2026, which could materially affect our business, financial condition, results of operations, and cash flows. The risks described in our Annual Report on Form 10-K are not the only risks we face. Additional risks and uncertainties not currently known to us or that we currently consider immaterial may also materially adversely affect our business, financial condition, results of operations, and cash flows. There have been no material changes in the risk factors contained in our Annual Report on Form 10-K other than those explained below.</w:t>
      </w:r>
    </w:p>
    <w:p>
      <w:pPr>
        <w:pStyle w:val="TextBody"/>
        <w:bidi w:val="0"/>
        <w:spacing w:lineRule="auto" w:line="240"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Our T1 Warranty (as defined herein) framework following the FEOC Restructuring may expose us to warranty claims that exceed our insurance coverage or financial reserves, or may prove less competitive than the warranties offered by other module manufacturers.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FEOC Restructuring, Trina Solar no longer provides product warranties for PV solar modules sold by the Company unless branded with the Trina trademark. In response, the Company established its own product warranty for PV solar modules sold by the company (the “T1 Warranty”), which became effective upon the first delivery of T1-branded modules in July 2026. The T1 Warranty was developed by reference to warranties offered by leading solar module manufacturers and is expected to be backed by third-party warranty insurance. Any interruption or degradation of the Company’s warranty support capabilities could impair our ability to address customer complaints and warranty claims in a timely manner, harming customer relationships and adversely affecting future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T1 Warranty (or, where applicable, any third-party warranty arranged for specific customers) proves less competitive than the warranties offered by other module manufacturers, or if warranty claims exceed the coverage provided by our warranty insurance or our financial reserves, we may be less competitive, experience longer sales cycles, and be unable to attract or retain customers. Any of these outcomes could adversely affect our business, results of operations, and prospects.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three months ended June 30, 2026,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listed below are incorporated by reference or are filed with this Quarterly Report on Form 10-Q, in each case as indicated therein (numbered in accordance with Item 601 of Regulation S-K).</w:t>
      </w:r>
    </w:p>
    <w:p>
      <w:pPr>
        <w:pStyle w:val="TextBody"/>
        <w:bidi w:val="0"/>
        <w:spacing w:lineRule="auto" w:line="240"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324"/>
        <w:gridCol w:w="284"/>
        <w:gridCol w:w="285"/>
        <w:gridCol w:w="109"/>
        <w:gridCol w:w="109"/>
        <w:gridCol w:w="109"/>
        <w:gridCol w:w="3115"/>
        <w:gridCol w:w="2852"/>
        <w:gridCol w:w="2861"/>
        <w:gridCol w:w="157"/>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80"/>
                  <w:sz w:val="20"/>
                  <w:u w:val="single"/>
                </w:rPr>
                <w:t>3</w:t>
              </w:r>
            </w:hyperlink>
            <w:hyperlink r:id="rId4">
              <w:r>
                <w:rPr>
                  <w:rStyle w:val="InternetLink"/>
                  <w:rFonts w:ascii="Times New Roman;serif" w:hAnsi="Times New Roman;serif"/>
                  <w:b w:val="false"/>
                  <w:color w:val="000080"/>
                  <w:sz w:val="20"/>
                  <w:u w:val="singl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5">
              <w:r>
                <w:rPr>
                  <w:rStyle w:val="InternetLink"/>
                  <w:rFonts w:ascii="Times New Roman;serif" w:hAnsi="Times New Roman;serif"/>
                  <w:b w:val="false"/>
                  <w:color w:val="0000FF"/>
                  <w:sz w:val="20"/>
                  <w:u w:val="single"/>
                </w:rPr>
                <w:t>Certificate of Amendment to the Amended and Restated Certificate of Incorporation, dated June 17, 2026 (incorporated by reference to Exhibit 3.1 to the Current Report on Form 8-K filed with the SEC on June 17,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7">
              <w:r>
                <w:rPr>
                  <w:rStyle w:val="InternetLink"/>
                  <w:rFonts w:ascii="Times New Roman;serif" w:hAnsi="Times New Roman;serif"/>
                  <w:b w:val="false"/>
                  <w:color w:val="0000FF"/>
                  <w:sz w:val="20"/>
                  <w:u w:val="single"/>
                </w:rPr>
                <w:t>Second Supplemental Indenture, dated as of April 17, 2026, between T1 Energy Inc. and U.S. Bank Trust Company, National Association, as trustee. (incorporated by reference to Exhibit 4.2 to the Current Report on Form 8-K filed with the SEC on April 17,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9">
              <w:r>
                <w:rPr>
                  <w:rStyle w:val="InternetLink"/>
                  <w:rFonts w:ascii="Times New Roman;serif" w:hAnsi="Times New Roman;serif"/>
                  <w:b w:val="false"/>
                  <w:color w:val="000080"/>
                  <w:sz w:val="20"/>
                  <w:u w:val="single"/>
                </w:rPr>
                <w:t>Form of 4.00% Convertible Senior Note due 2031 (included in Exhibit 4.</w:t>
              </w:r>
            </w:hyperlink>
            <w:hyperlink r:id="rId10">
              <w:r>
                <w:rPr>
                  <w:rStyle w:val="InternetLink"/>
                  <w:rFonts w:ascii="Times New Roman;serif" w:hAnsi="Times New Roman;serif"/>
                  <w:b w:val="false"/>
                  <w:color w:val="000080"/>
                  <w:sz w:val="20"/>
                  <w:u w:val="single"/>
                </w:rPr>
                <w:t>1</w:t>
              </w:r>
            </w:hyperlink>
            <w:hyperlink r:id="rId11">
              <w:r>
                <w:rPr>
                  <w:rStyle w:val="InternetLink"/>
                  <w:rFonts w:ascii="Times New Roman;serif" w:hAnsi="Times New Roman;serif"/>
                  <w:b w:val="false"/>
                  <w:color w:val="000080"/>
                  <w:sz w:val="20"/>
                  <w:u w:val="single"/>
                </w:rPr>
                <w:t xml:space="preserve"> and incorporated by reference to Exhibit 4.3 to the Current Report on Form 8-K filed with the SEC on April 17,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80"/>
                  <w:sz w:val="20"/>
                  <w:u w:val="single"/>
                </w:rPr>
                <w:t>4.</w:t>
              </w:r>
            </w:hyperlink>
            <w:hyperlink r:id="rId13">
              <w:r>
                <w:rPr>
                  <w:rStyle w:val="InternetLink"/>
                  <w:rFonts w:ascii="Times New Roman;serif" w:hAnsi="Times New Roman;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4">
              <w:r>
                <w:rPr>
                  <w:rStyle w:val="InternetLink"/>
                  <w:rFonts w:ascii="Times New Roman;serif" w:hAnsi="Times New Roman;serif"/>
                  <w:b w:val="false"/>
                  <w:color w:val="0000FF"/>
                  <w:sz w:val="20"/>
                  <w:u w:val="single"/>
                </w:rPr>
                <w:t>Indenture, dated as of July 31, 2026, between T1 Energy Inc. and U.S. Bank Trust Company, National Association, as trustee. (incorporated by reference to Exhibit 4.1 to the Current Report on Form 8-K filed with the SEC on July 31,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80"/>
                  <w:sz w:val="20"/>
                  <w:u w:val="single"/>
                </w:rPr>
                <w:t>4.</w:t>
              </w:r>
            </w:hyperlink>
            <w:hyperlink r:id="rId16">
              <w:r>
                <w:rPr>
                  <w:rStyle w:val="InternetLink"/>
                  <w:rFonts w:ascii="Times New Roman;serif" w:hAnsi="Times New Roman;serif"/>
                  <w:b w:val="false"/>
                  <w:color w:val="000080"/>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7">
              <w:r>
                <w:rPr>
                  <w:rStyle w:val="InternetLink"/>
                  <w:rFonts w:ascii="Times New Roman;serif" w:hAnsi="Times New Roman;serif"/>
                  <w:b w:val="false"/>
                  <w:color w:val="0000FF"/>
                  <w:sz w:val="20"/>
                  <w:u w:val="single"/>
                </w:rPr>
                <w:t>Form of 4.75% Convertible Senior Note due 2031 (included in Exhibit 4.3 and incorporated by reference to Exhibit 4.1 to the Current Report on Form 8-K filed with the SEC on July 31,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9">
              <w:r>
                <w:rPr>
                  <w:rStyle w:val="InternetLink"/>
                  <w:rFonts w:ascii="Times New Roman;serif" w:hAnsi="Times New Roman;serif"/>
                  <w:b w:val="false"/>
                  <w:color w:val="0000FF"/>
                  <w:sz w:val="20"/>
                  <w:u w:val="single"/>
                </w:rPr>
                <w:t>Form of Note Purchase Agreement (incorporated by reference to Exhibit 10.1 to the Current Report on Form 8-K filed with the SEC on July 31,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1">
              <w:r>
                <w:rPr>
                  <w:rStyle w:val="InternetLink"/>
                  <w:rFonts w:ascii="Times New Roman;serif" w:hAnsi="Times New Roman;serif"/>
                  <w:b w:val="false"/>
                  <w:color w:val="000080"/>
                  <w:sz w:val="20"/>
                  <w:u w:val="single"/>
                </w:rPr>
                <w:t>Intellectual Property Purchase Agreement, dated as of July 28, 2026, by and between T1 Energy Inc. and Evervolt Green Energy Holding Pte, Ltd. (incorporated by reference to Exhibit 10.1 to the Current Report Form 8-K filed with the SEC on July 28, 2026)</w:t>
              </w:r>
            </w:hyperlink>
            <w:hyperlink r:id="rId22">
              <w:r>
                <w:rPr>
                  <w:rStyle w:val="InternetLink"/>
                  <w:rFonts w:ascii="Times New Roman;serif" w:hAnsi="Times New Roman;serif"/>
                  <w:b w:val="false"/>
                  <w:color w:val="000080"/>
                  <w:sz w:val="20"/>
                  <w:u w:val="single"/>
                </w:rPr>
                <w:t>.</w:t>
              </w:r>
            </w:hyperlink>
            <w:hyperlink r:id="rId23">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25">
              <w:r>
                <w:rPr>
                  <w:rStyle w:val="InternetLink"/>
                  <w:rFonts w:ascii="Times New Roman;serif" w:hAnsi="Times New Roman;serif"/>
                  <w:b w:val="false"/>
                  <w:color w:val="000080"/>
                  <w:sz w:val="20"/>
                  <w:u w:val="single"/>
                </w:rPr>
                <w:t>Call Option Agreement, dated as of July 27, 2026, by and between T1 Energy Inc. and Evervolt Green Energy Holding Pte, Ltd. (incorporated by reference to Exhibit 10.2 to the Current Report Form 8-K filed with the SEC on July 28, 2026)</w:t>
              </w:r>
            </w:hyperlink>
            <w:hyperlink r:id="rId26">
              <w:r>
                <w:rPr>
                  <w:rStyle w:val="InternetLink"/>
                  <w:rFonts w:ascii="Times New Roman;serif" w:hAnsi="Times New Roman;serif"/>
                  <w:b w:val="false"/>
                  <w:color w:val="000080"/>
                  <w:sz w:val="20"/>
                  <w:u w:val="single"/>
                </w:rPr>
                <w:t>.</w:t>
              </w:r>
            </w:hyperlink>
            <w:hyperlink r:id="rId27">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29">
              <w:r>
                <w:rPr>
                  <w:rStyle w:val="InternetLink"/>
                  <w:rFonts w:ascii="Times New Roman;serif" w:hAnsi="Times New Roman;serif"/>
                  <w:b w:val="false"/>
                  <w:color w:val="000080"/>
                  <w:sz w:val="20"/>
                  <w:u w:val="single"/>
                </w:rPr>
                <w:t xml:space="preserve">Waiver, Consent and Amendment No. 8 to Credit Agreement, dated as of July 27, 2026, among T1 G1 Dallas Solar Module LLC, as borrower, the lenders party thereto, HSBC Bank USA, N.A., as administrative agent for the lenders, and HSBC Bank USA, N.A. </w:t>
              </w:r>
            </w:hyperlink>
            <w:hyperlink r:id="rId30">
              <w:r>
                <w:rPr>
                  <w:rStyle w:val="InternetLink"/>
                  <w:rFonts w:ascii="Times New Roman;serif" w:hAnsi="Times New Roman;serif"/>
                  <w:b w:val="false"/>
                  <w:color w:val="000080"/>
                  <w:sz w:val="20"/>
                  <w:u w:val="single"/>
                </w:rPr>
                <w:t>(incorporated by reference to Exhibit 10</w:t>
              </w:r>
            </w:hyperlink>
            <w:hyperlink r:id="rId31">
              <w:r>
                <w:rPr>
                  <w:rStyle w:val="InternetLink"/>
                  <w:rFonts w:ascii="Times New Roman;serif" w:hAnsi="Times New Roman;serif"/>
                  <w:b w:val="false"/>
                  <w:color w:val="000080"/>
                  <w:sz w:val="20"/>
                  <w:u w:val="single"/>
                </w:rPr>
                <w:t>.</w:t>
              </w:r>
            </w:hyperlink>
            <w:hyperlink r:id="rId32">
              <w:r>
                <w:rPr>
                  <w:rStyle w:val="InternetLink"/>
                  <w:rFonts w:ascii="Times New Roman;serif" w:hAnsi="Times New Roman;serif"/>
                  <w:b w:val="false"/>
                  <w:color w:val="000080"/>
                  <w:sz w:val="20"/>
                  <w:u w:val="single"/>
                </w:rPr>
                <w:t>1</w:t>
              </w:r>
            </w:hyperlink>
            <w:hyperlink r:id="rId33">
              <w:r>
                <w:rPr>
                  <w:rStyle w:val="InternetLink"/>
                  <w:rFonts w:ascii="Times New Roman;serif" w:hAnsi="Times New Roman;serif"/>
                  <w:b w:val="false"/>
                  <w:color w:val="000080"/>
                  <w:sz w:val="20"/>
                  <w:u w:val="single"/>
                </w:rPr>
                <w:t xml:space="preserve"> to the Current Report on Form 8-K filed with the SEC on </w:t>
              </w:r>
            </w:hyperlink>
            <w:hyperlink r:id="rId34">
              <w:r>
                <w:rPr>
                  <w:rStyle w:val="InternetLink"/>
                  <w:rFonts w:ascii="Times New Roman;serif" w:hAnsi="Times New Roman;serif"/>
                  <w:b w:val="false"/>
                  <w:color w:val="000080"/>
                  <w:sz w:val="20"/>
                  <w:u w:val="single"/>
                </w:rPr>
                <w:t xml:space="preserve">July </w:t>
              </w:r>
            </w:hyperlink>
            <w:hyperlink r:id="rId35">
              <w:r>
                <w:rPr>
                  <w:rStyle w:val="InternetLink"/>
                  <w:rFonts w:ascii="Times New Roman;serif" w:hAnsi="Times New Roman;serif"/>
                  <w:b w:val="false"/>
                  <w:color w:val="000080"/>
                  <w:sz w:val="20"/>
                  <w:u w:val="single"/>
                </w:rPr>
                <w:t>30</w:t>
              </w:r>
            </w:hyperlink>
            <w:hyperlink r:id="rId36">
              <w:r>
                <w:rPr>
                  <w:rStyle w:val="InternetLink"/>
                  <w:rFonts w:ascii="Times New Roman;serif" w:hAnsi="Times New Roman;serif"/>
                  <w:b w:val="false"/>
                  <w:color w:val="000080"/>
                  <w:sz w:val="20"/>
                  <w:u w:val="single"/>
                </w:rPr>
                <w:t>,</w:t>
              </w:r>
            </w:hyperlink>
            <w:hyperlink r:id="rId37">
              <w:r>
                <w:rPr>
                  <w:rStyle w:val="InternetLink"/>
                  <w:rFonts w:ascii="Times New Roman;serif" w:hAnsi="Times New Roman;serif"/>
                  <w:b w:val="false"/>
                  <w:color w:val="000080"/>
                  <w:sz w:val="20"/>
                  <w:u w:val="single"/>
                </w:rPr>
                <w:t xml:space="preserve"> </w:t>
              </w:r>
            </w:hyperlink>
            <w:hyperlink r:id="rId38">
              <w:r>
                <w:rPr>
                  <w:rStyle w:val="InternetLink"/>
                  <w:rFonts w:ascii="Times New Roman;serif" w:hAnsi="Times New Roman;serif"/>
                  <w:b w:val="false"/>
                  <w:color w:val="000080"/>
                  <w:sz w:val="20"/>
                  <w:u w:val="single"/>
                </w:rPr>
                <w:t>202</w:t>
              </w:r>
            </w:hyperlink>
            <w:hyperlink r:id="rId39">
              <w:r>
                <w:rPr>
                  <w:rStyle w:val="InternetLink"/>
                  <w:rFonts w:ascii="Times New Roman;serif" w:hAnsi="Times New Roman;serif"/>
                  <w:b w:val="false"/>
                  <w:color w:val="000080"/>
                  <w:sz w:val="20"/>
                  <w:u w:val="single"/>
                </w:rPr>
                <w:t>6</w:t>
              </w:r>
            </w:hyperlink>
            <w:hyperlink r:id="rId40">
              <w:r>
                <w:rPr>
                  <w:rStyle w:val="InternetLink"/>
                  <w:rFonts w:ascii="Times New Roman;serif" w:hAnsi="Times New Roman;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80"/>
                  <w:sz w:val="20"/>
                  <w:u w:val="single"/>
                </w:rPr>
                <w:t>1</w:t>
              </w:r>
            </w:hyperlink>
            <w:hyperlink r:id="rId42">
              <w:r>
                <w:rPr>
                  <w:rStyle w:val="InternetLink"/>
                  <w:rFonts w:ascii="Times New Roman;serif" w:hAnsi="Times New Roman;serif"/>
                  <w:b w:val="false"/>
                  <w:color w:val="000080"/>
                  <w:sz w:val="20"/>
                  <w:u w:val="single"/>
                </w:rPr>
                <w:t>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43">
              <w:r>
                <w:rPr>
                  <w:rStyle w:val="InternetLink"/>
                  <w:rFonts w:ascii="Times New Roman;serif" w:hAnsi="Times New Roman;serif"/>
                  <w:b w:val="false"/>
                  <w:color w:val="0000FF"/>
                  <w:sz w:val="20"/>
                  <w:u w:val="single"/>
                </w:rPr>
                <w:t>Separation and Release Agreement between FREYR Battery Norway AS and Einar Kilde, dated April 22, 2026 (incorporated by reference to Exhibit 10.1 to the Current Report on Form 8-K filed with the SEC on April 27,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1-q22026.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1-q22026.htm">
              <w:r>
                <w:rPr>
                  <w:rStyle w:val="InternetLink"/>
                  <w:rFonts w:ascii="Times New Roman;serif" w:hAnsi="Times New Roman;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q22026.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q22026.htm">
              <w:r>
                <w:rPr>
                  <w:rStyle w:val="InternetLink"/>
                  <w:rFonts w:ascii="Times New Roman;serif" w:hAnsi="Times New Roman;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1-q22026.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1-q220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q22026.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q220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405 of Regulation S-T, the following financial information from the Company’s Quarterly Report on Form 10-Q for the period ended June 30, 2026, formatted in Inline XBRL interactive data files: (i) Unaudited Consolidated Balance Sheets as of June 30, 2026 and December 31, 2025; (ii) Unaudited Condensed Consolidated Statements of Operations for the three and six months ended June 30, 2026 and 2025; (iii) Unaudited Condensed Consolidated Statements of Stockholders’ Equity for the three and six months ended June 30, 2026 and 2025; (iv) Unaudited Condensed Consolidated Statements of Cash Flows for the six months ended June 30, 2026 and 2025; and (v) Notes to Unaudited Condensed Consolidated Financial Statements.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8"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46" w:type="dxa"/>
        <w:jc w:val="left"/>
        <w:tblInd w:w="0" w:type="dxa"/>
        <w:tblLayout w:type="fixed"/>
        <w:tblCellMar>
          <w:top w:w="28" w:type="dxa"/>
          <w:left w:w="28" w:type="dxa"/>
          <w:bottom w:w="28" w:type="dxa"/>
          <w:right w:w="28" w:type="dxa"/>
        </w:tblCellMar>
      </w:tblPr>
      <w:tblGrid>
        <w:gridCol w:w="124"/>
        <w:gridCol w:w="109"/>
        <w:gridCol w:w="109"/>
        <w:gridCol w:w="2313"/>
        <w:gridCol w:w="2313"/>
        <w:gridCol w:w="32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Documents 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Certain schedules and exhibits have been omitted pursuant to Item 601(a)(5) of Regulation S-K.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and compensatory plan and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T1 Energy Inc.</w:t>
      </w:r>
    </w:p>
    <w:tbl>
      <w:tblPr>
        <w:tblW w:w="5450" w:type="dxa"/>
        <w:jc w:val="left"/>
        <w:tblInd w:w="0" w:type="dxa"/>
        <w:tblLayout w:type="fixed"/>
        <w:tblCellMar>
          <w:top w:w="28" w:type="dxa"/>
          <w:left w:w="28" w:type="dxa"/>
          <w:bottom w:w="28" w:type="dxa"/>
          <w:right w:w="28" w:type="dxa"/>
        </w:tblCellMar>
      </w:tblPr>
      <w:tblGrid>
        <w:gridCol w:w="705"/>
        <w:gridCol w:w="621"/>
        <w:gridCol w:w="624"/>
        <w:gridCol w:w="297"/>
        <w:gridCol w:w="297"/>
        <w:gridCol w:w="297"/>
        <w:gridCol w:w="764"/>
        <w:gridCol w:w="764"/>
        <w:gridCol w:w="108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5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Tom Mahrer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Tom Mahrer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Barcelo, certify that: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0"/>
        <w:gridCol w:w="730"/>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Joseph Evan Calio, certify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June 30, 2026, as filed with the Securities and Exchange Commission on the date hereof (the “Report”), I, Daniel Barcelo, Chief Executive Officer of the Company, hereby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0"/>
        <w:gridCol w:w="730"/>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June 30, 2026,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pStyle w:val="TextBody"/>
        <w:bidi w:val="0"/>
        <w:spacing w:before="0" w:after="0"/>
        <w:ind w:left="0" w:right="0" w:firstLine="72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8"/>
        <w:gridCol w:w="738"/>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92243/000121390026069670/ea029506201ex3-1.htm" TargetMode="External"/><Relationship Id="rId4" Type="http://schemas.openxmlformats.org/officeDocument/2006/relationships/hyperlink" Target="https://www.sec.gov/Archives/edgar/data/1992243/000121390026069670/ea029506201ex3-1.htm" TargetMode="External"/><Relationship Id="rId5" Type="http://schemas.openxmlformats.org/officeDocument/2006/relationships/hyperlink" Target="https://www.sec.gov/Archives/edgar/data/1992243/000121390026069670/ea029506201ex3-1.htm" TargetMode="External"/><Relationship Id="rId6" Type="http://schemas.openxmlformats.org/officeDocument/2006/relationships/hyperlink" Target="https://www.sec.gov/Archives/edgar/data/1992243/000121390026045173/ea028661001ex4-2.htm" TargetMode="External"/><Relationship Id="rId7" Type="http://schemas.openxmlformats.org/officeDocument/2006/relationships/hyperlink" Target="https://www.sec.gov/Archives/edgar/data/1992243/000121390026045173/ea028661001ex4-2.htm" TargetMode="External"/><Relationship Id="rId8" Type="http://schemas.openxmlformats.org/officeDocument/2006/relationships/hyperlink" Target="https://www.sec.gov/Archives/edgar/data/1992243/000121390026045173/ea028661001ex4-2.htm" TargetMode="External"/><Relationship Id="rId9" Type="http://schemas.openxmlformats.org/officeDocument/2006/relationships/hyperlink" Target="https://www.sec.gov/Archives/edgar/data/1992243/000121390026045173/ea028661001ex4-2.htm" TargetMode="External"/><Relationship Id="rId10" Type="http://schemas.openxmlformats.org/officeDocument/2006/relationships/hyperlink" Target="https://www.sec.gov/Archives/edgar/data/1992243/000121390026045173/ea028661001ex4-2.htm" TargetMode="External"/><Relationship Id="rId11" Type="http://schemas.openxmlformats.org/officeDocument/2006/relationships/hyperlink" Target="https://www.sec.gov/Archives/edgar/data/1992243/000121390026045173/ea028661001ex4-2.htm" TargetMode="External"/><Relationship Id="rId12" Type="http://schemas.openxmlformats.org/officeDocument/2006/relationships/hyperlink" Target="https://www.sec.gov/Archives/edgar/data/1992243/000121390026084067/ea029986701ex4-1.htm" TargetMode="External"/><Relationship Id="rId13" Type="http://schemas.openxmlformats.org/officeDocument/2006/relationships/hyperlink" Target="https://www.sec.gov/Archives/edgar/data/1992243/000121390026084067/ea029986701ex4-1.htm" TargetMode="External"/><Relationship Id="rId14" Type="http://schemas.openxmlformats.org/officeDocument/2006/relationships/hyperlink" Target="https://www.sec.gov/Archives/edgar/data/1992243/000121390026084067/ea029986701ex4-1.htm" TargetMode="External"/><Relationship Id="rId15" Type="http://schemas.openxmlformats.org/officeDocument/2006/relationships/hyperlink" Target="https://www.sec.gov/Archives/edgar/data/1992243/000121390026084067/ea029986701ex4-1.htm" TargetMode="External"/><Relationship Id="rId16" Type="http://schemas.openxmlformats.org/officeDocument/2006/relationships/hyperlink" Target="https://www.sec.gov/Archives/edgar/data/1992243/000121390026084067/ea029986701ex4-1.htm" TargetMode="External"/><Relationship Id="rId17" Type="http://schemas.openxmlformats.org/officeDocument/2006/relationships/hyperlink" Target="https://www.sec.gov/Archives/edgar/data/1992243/000121390026084067/ea029986701ex4-1.htm" TargetMode="External"/><Relationship Id="rId18" Type="http://schemas.openxmlformats.org/officeDocument/2006/relationships/hyperlink" Target="https://www.sec.gov/Archives/edgar/data/1992243/000121390026084067/ea029986701ex10-1.htm" TargetMode="External"/><Relationship Id="rId19" Type="http://schemas.openxmlformats.org/officeDocument/2006/relationships/hyperlink" Target="https://www.sec.gov/Archives/edgar/data/1992243/000121390026084067/ea029986701ex10-1.htm" TargetMode="External"/><Relationship Id="rId20" Type="http://schemas.openxmlformats.org/officeDocument/2006/relationships/hyperlink" Target="https://www.sec.gov/Archives/edgar/data/1992243/000121390026081970/ea029940001ex10-1.htm" TargetMode="External"/><Relationship Id="rId21" Type="http://schemas.openxmlformats.org/officeDocument/2006/relationships/hyperlink" Target="https://www.sec.gov/Archives/edgar/data/1992243/000121390026081970/ea029940001ex10-1.htm" TargetMode="External"/><Relationship Id="rId22" Type="http://schemas.openxmlformats.org/officeDocument/2006/relationships/hyperlink" Target="https://www.sec.gov/Archives/edgar/data/1992243/000121390026081970/ea029940001ex10-1.htm" TargetMode="External"/><Relationship Id="rId23" Type="http://schemas.openxmlformats.org/officeDocument/2006/relationships/hyperlink" Target="https://www.sec.gov/Archives/edgar/data/1992243/000121390026081970/ea029940001ex10-1.htm" TargetMode="External"/><Relationship Id="rId24" Type="http://schemas.openxmlformats.org/officeDocument/2006/relationships/hyperlink" Target="https://www.sec.gov/Archives/edgar/data/1992243/000121390026081970/ea029940001ex10-1.htm" TargetMode="External"/><Relationship Id="rId25" Type="http://schemas.openxmlformats.org/officeDocument/2006/relationships/hyperlink" Target="https://www.sec.gov/Archives/edgar/data/1992243/000121390026081970/ea029940001ex10-1.htm" TargetMode="External"/><Relationship Id="rId26" Type="http://schemas.openxmlformats.org/officeDocument/2006/relationships/hyperlink" Target="https://www.sec.gov/Archives/edgar/data/1992243/000121390026081970/ea029940001ex10-1.htm" TargetMode="External"/><Relationship Id="rId27" Type="http://schemas.openxmlformats.org/officeDocument/2006/relationships/hyperlink" Target="https://www.sec.gov/Archives/edgar/data/1992243/000121390026081970/ea029940001ex10-1.htm" TargetMode="External"/><Relationship Id="rId28" Type="http://schemas.openxmlformats.org/officeDocument/2006/relationships/hyperlink" Target="https://www.sec.gov/Archives/edgar/data/1992243/000121390026083033/ea029971101ex10-1.htm" TargetMode="External"/><Relationship Id="rId29" Type="http://schemas.openxmlformats.org/officeDocument/2006/relationships/hyperlink" Target="https://www.sec.gov/Archives/edgar/data/1992243/000121390026083033/ea029971101ex10-1.htm" TargetMode="External"/><Relationship Id="rId30" Type="http://schemas.openxmlformats.org/officeDocument/2006/relationships/hyperlink" Target="https://www.sec.gov/Archives/edgar/data/1992243/000121390026083033/ea029971101ex10-1.htm" TargetMode="External"/><Relationship Id="rId31" Type="http://schemas.openxmlformats.org/officeDocument/2006/relationships/hyperlink" Target="https://www.sec.gov/Archives/edgar/data/1992243/000121390026083033/ea029971101ex10-1.htm" TargetMode="External"/><Relationship Id="rId32" Type="http://schemas.openxmlformats.org/officeDocument/2006/relationships/hyperlink" Target="https://www.sec.gov/Archives/edgar/data/1992243/000121390026083033/ea029971101ex10-1.htm" TargetMode="External"/><Relationship Id="rId33" Type="http://schemas.openxmlformats.org/officeDocument/2006/relationships/hyperlink" Target="https://www.sec.gov/Archives/edgar/data/1992243/000121390026083033/ea029971101ex10-1.htm" TargetMode="External"/><Relationship Id="rId34" Type="http://schemas.openxmlformats.org/officeDocument/2006/relationships/hyperlink" Target="https://www.sec.gov/Archives/edgar/data/1992243/000121390026083033/ea029971101ex10-1.htm" TargetMode="External"/><Relationship Id="rId35" Type="http://schemas.openxmlformats.org/officeDocument/2006/relationships/hyperlink" Target="https://www.sec.gov/Archives/edgar/data/1992243/000121390026083033/ea029971101ex10-1.htm" TargetMode="External"/><Relationship Id="rId36" Type="http://schemas.openxmlformats.org/officeDocument/2006/relationships/hyperlink" Target="https://www.sec.gov/Archives/edgar/data/1992243/000121390026083033/ea029971101ex10-1.htm" TargetMode="External"/><Relationship Id="rId37" Type="http://schemas.openxmlformats.org/officeDocument/2006/relationships/hyperlink" Target="https://www.sec.gov/Archives/edgar/data/1992243/000121390026083033/ea029971101ex10-1.htm" TargetMode="External"/><Relationship Id="rId38" Type="http://schemas.openxmlformats.org/officeDocument/2006/relationships/hyperlink" Target="https://www.sec.gov/Archives/edgar/data/1992243/000121390026083033/ea029971101ex10-1.htm" TargetMode="External"/><Relationship Id="rId39" Type="http://schemas.openxmlformats.org/officeDocument/2006/relationships/hyperlink" Target="https://www.sec.gov/Archives/edgar/data/1992243/000121390026083033/ea029971101ex10-1.htm" TargetMode="External"/><Relationship Id="rId40" Type="http://schemas.openxmlformats.org/officeDocument/2006/relationships/hyperlink" Target="https://www.sec.gov/Archives/edgar/data/1992243/000121390026083033/ea029971101ex10-1.htm" TargetMode="External"/><Relationship Id="rId41" Type="http://schemas.openxmlformats.org/officeDocument/2006/relationships/hyperlink" Target="https://www.sec.gov/Archives/edgar/data/1992243/000121390026048030/ea028744201ex10-1.htm" TargetMode="External"/><Relationship Id="rId42" Type="http://schemas.openxmlformats.org/officeDocument/2006/relationships/hyperlink" Target="https://www.sec.gov/Archives/edgar/data/1992243/000121390026048030/ea028744201ex10-1.htm" TargetMode="External"/><Relationship Id="rId43" Type="http://schemas.openxmlformats.org/officeDocument/2006/relationships/hyperlink" Target="https://www.sec.gov/Archives/edgar/data/1992243/000121390026048030/ea028744201ex10-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24337</Words>
  <Characters>133829</Characters>
  <CharactersWithSpaces>156965</CharactersWithSpaces>
  <Paragraphs>2203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