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9"/>
        <w:spacing w:after="0" w:line="22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 xml:space="preserve">FORM </w:t>
      </w:r>
      <w:r>
        <w:rPr>
          <w:rFonts w:ascii="Times New Roman" w:cs="Times New Roman" w:eastAsia="Times New Roman" w:hAnsi="Times New Roman"/>
          <w:sz w:val="19"/>
          <w:szCs w:val="19"/>
          <w:b w:val="1"/>
          <w:bCs w:val="1"/>
          <w:color w:val="auto"/>
        </w:rPr>
        <w:t>10-Q</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ind w:left="1420" w:hanging="278"/>
        <w:spacing w:after="0" w:line="185" w:lineRule="auto"/>
        <w:tabs>
          <w:tab w:leader="none" w:pos="142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31, 2025</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23" w:lineRule="exact"/>
        <w:rPr>
          <w:sz w:val="24"/>
          <w:szCs w:val="24"/>
          <w:color w:val="auto"/>
        </w:rPr>
      </w:pPr>
    </w:p>
    <w:p>
      <w:pPr>
        <w:ind w:left="1400" w:hanging="265"/>
        <w:spacing w:after="0"/>
        <w:tabs>
          <w:tab w:leader="none" w:pos="1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2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For the transition period from ________ to 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333-274434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114300</wp:posOffset>
            </wp:positionV>
            <wp:extent cx="77152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5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93-3205861</w:t>
            </w:r>
          </w:p>
        </w:tc>
      </w:tr>
      <w:tr>
        <w:trPr>
          <w:trHeight w:val="221"/>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0" w:type="dxa"/>
            <w:vAlign w:val="bottom"/>
          </w:tcPr>
          <w:p>
            <w:pPr>
              <w:spacing w:after="0"/>
              <w:rPr>
                <w:sz w:val="19"/>
                <w:szCs w:val="19"/>
                <w:color w:val="auto"/>
              </w:rPr>
            </w:pPr>
          </w:p>
        </w:tc>
        <w:tc>
          <w:tcPr>
            <w:tcW w:w="5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1211 E 4th St.</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Austin, Texas 78702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(409) 599-5706</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60" w:type="dxa"/>
            <w:vAlign w:val="bottom"/>
            <w:gridSpan w:val="2"/>
            <w:vMerge w:val="continue"/>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w:t>
            </w:r>
          </w:p>
        </w:tc>
        <w:tc>
          <w:tcPr>
            <w:tcW w:w="120" w:type="dxa"/>
            <w:vAlign w:val="bottom"/>
            <w:tcBorders>
              <w:top w:val="single" w:sz="8" w:color="CCEEFF"/>
            </w:tcBorders>
            <w:shd w:val="clear" w:color="auto" w:fill="CCEEFF"/>
          </w:tcPr>
          <w:p>
            <w:pPr>
              <w:spacing w:after="0"/>
              <w:rPr>
                <w:sz w:val="19"/>
                <w:szCs w:val="19"/>
                <w:color w:val="auto"/>
              </w:rPr>
            </w:pPr>
          </w:p>
        </w:tc>
        <w:tc>
          <w:tcPr>
            <w:tcW w:w="4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 Common</w:t>
            </w:r>
          </w:p>
        </w:tc>
        <w:tc>
          <w:tcPr>
            <w:tcW w:w="12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7"/>
              </w:rPr>
              <w:t>TE WS</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 at an exercise price of $11.50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12, 2025, 155,938,092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200" w:type="dxa"/>
            <w:vAlign w:val="bottom"/>
            <w:gridSpan w:val="17"/>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 Financial Information</w:t>
            </w:r>
          </w:p>
        </w:tc>
        <w:tc>
          <w:tcPr>
            <w:tcW w:w="600" w:type="dxa"/>
            <w:vAlign w:val="bottom"/>
            <w:tcBorders>
              <w:right w:val="single" w:sz="8" w:color="CCEEFF"/>
            </w:tcBorders>
            <w:gridSpan w:val="2"/>
            <w:shd w:val="clear" w:color="auto" w:fill="CCEEFF"/>
          </w:tcPr>
          <w:p>
            <w:pPr>
              <w:jc w:val="center"/>
              <w:ind w:left="330"/>
              <w:spacing w:after="0" w:line="156" w:lineRule="exact"/>
              <w:rPr>
                <w:sz w:val="20"/>
                <w:szCs w:val="20"/>
                <w:color w:val="auto"/>
              </w:rPr>
            </w:pPr>
            <w:r>
              <w:rPr>
                <w:rFonts w:ascii="Times New Roman" w:cs="Times New Roman" w:eastAsia="Times New Roman" w:hAnsi="Times New Roman"/>
                <w:sz w:val="18"/>
                <w:szCs w:val="18"/>
                <w:color w:val="0000FF"/>
              </w:rPr>
              <w:t>1</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gridSpan w:val="4"/>
          </w:tcPr>
          <w:p>
            <w:pPr>
              <w:spacing w:after="0" w:line="183" w:lineRule="exact"/>
              <w:rPr>
                <w:sz w:val="20"/>
                <w:szCs w:val="20"/>
                <w:color w:val="auto"/>
              </w:rPr>
            </w:pPr>
            <w:r>
              <w:rPr>
                <w:rFonts w:ascii="Times New Roman" w:cs="Times New Roman" w:eastAsia="Times New Roman" w:hAnsi="Times New Roman"/>
                <w:sz w:val="18"/>
                <w:szCs w:val="18"/>
                <w:color w:val="0000FF"/>
              </w:rPr>
              <w:t>Item 1.</w:t>
            </w:r>
          </w:p>
        </w:tc>
        <w:tc>
          <w:tcPr>
            <w:tcW w:w="8500" w:type="dxa"/>
            <w:vAlign w:val="bottom"/>
            <w:gridSpan w:val="12"/>
          </w:tcPr>
          <w:p>
            <w:pPr>
              <w:spacing w:after="0" w:line="183" w:lineRule="exact"/>
              <w:rPr>
                <w:sz w:val="20"/>
                <w:szCs w:val="20"/>
                <w:color w:val="auto"/>
              </w:rPr>
            </w:pPr>
            <w:r>
              <w:rPr>
                <w:rFonts w:ascii="Times New Roman" w:cs="Times New Roman" w:eastAsia="Times New Roman" w:hAnsi="Times New Roman"/>
                <w:sz w:val="18"/>
                <w:szCs w:val="18"/>
                <w:color w:val="0000FF"/>
              </w:rPr>
              <w:t>Financial Statements</w:t>
            </w:r>
          </w:p>
        </w:tc>
        <w:tc>
          <w:tcPr>
            <w:tcW w:w="600" w:type="dxa"/>
            <w:vAlign w:val="bottom"/>
            <w:gridSpan w:val="2"/>
          </w:tcPr>
          <w:p>
            <w:pPr>
              <w:jc w:val="center"/>
              <w:ind w:left="330"/>
              <w:spacing w:after="0" w:line="183" w:lineRule="exact"/>
              <w:rPr>
                <w:sz w:val="20"/>
                <w:szCs w:val="20"/>
                <w:color w:val="auto"/>
              </w:rPr>
            </w:pPr>
            <w:r>
              <w:rPr>
                <w:rFonts w:ascii="Times New Roman" w:cs="Times New Roman" w:eastAsia="Times New Roman" w:hAnsi="Times New Roman"/>
                <w:sz w:val="18"/>
                <w:szCs w:val="18"/>
                <w:color w:val="0000FF"/>
              </w:rPr>
              <w:t>1</w:t>
            </w:r>
          </w:p>
        </w:tc>
        <w:tc>
          <w:tcPr>
            <w:tcW w:w="4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500" w:type="dxa"/>
            <w:vAlign w:val="bottom"/>
            <w:gridSpan w:val="2"/>
            <w:shd w:val="clear" w:color="auto" w:fill="CCEEFF"/>
          </w:tcPr>
          <w:p>
            <w:pPr>
              <w:spacing w:after="0"/>
              <w:rPr>
                <w:sz w:val="16"/>
                <w:szCs w:val="16"/>
                <w:color w:val="auto"/>
              </w:rPr>
            </w:pPr>
          </w:p>
        </w:tc>
        <w:tc>
          <w:tcPr>
            <w:tcW w:w="85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Borders>
              <w:right w:val="single" w:sz="8" w:color="CCEEFF"/>
            </w:tcBorders>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4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2"/>
          </w:tcPr>
          <w:p>
            <w:pPr>
              <w:spacing w:after="0"/>
              <w:rPr>
                <w:sz w:val="16"/>
                <w:szCs w:val="16"/>
                <w:color w:val="auto"/>
              </w:rPr>
            </w:pPr>
          </w:p>
        </w:tc>
        <w:tc>
          <w:tcPr>
            <w:tcW w:w="64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40" w:type="dxa"/>
            <w:vAlign w:val="bottom"/>
          </w:tcPr>
          <w:p>
            <w:pPr>
              <w:spacing w:after="0"/>
              <w:rPr>
                <w:sz w:val="16"/>
                <w:szCs w:val="16"/>
                <w:color w:val="auto"/>
              </w:rPr>
            </w:pP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4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2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2"/>
            <w:shd w:val="clear" w:color="auto" w:fill="CCEEFF"/>
          </w:tcPr>
          <w:p>
            <w:pPr>
              <w:spacing w:after="0"/>
              <w:rPr>
                <w:sz w:val="16"/>
                <w:szCs w:val="16"/>
                <w:color w:val="auto"/>
              </w:rPr>
            </w:pPr>
          </w:p>
        </w:tc>
        <w:tc>
          <w:tcPr>
            <w:tcW w:w="1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4"/>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4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2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2"/>
            <w:shd w:val="clear" w:color="auto" w:fill="CCEEFF"/>
          </w:tcPr>
          <w:p>
            <w:pPr>
              <w:spacing w:after="0"/>
              <w:rPr>
                <w:sz w:val="16"/>
                <w:szCs w:val="16"/>
                <w:color w:val="auto"/>
              </w:rPr>
            </w:pPr>
          </w:p>
        </w:tc>
        <w:tc>
          <w:tcPr>
            <w:tcW w:w="85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Borders>
              <w:right w:val="single" w:sz="8" w:color="CCEEFF"/>
            </w:tcBorders>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4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5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4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500" w:type="dxa"/>
            <w:vAlign w:val="bottom"/>
            <w:gridSpan w:val="2"/>
            <w:shd w:val="clear" w:color="auto" w:fill="CCEEFF"/>
          </w:tcPr>
          <w:p>
            <w:pPr>
              <w:spacing w:after="0"/>
              <w:rPr>
                <w:sz w:val="16"/>
                <w:szCs w:val="16"/>
                <w:color w:val="auto"/>
              </w:rPr>
            </w:pPr>
          </w:p>
        </w:tc>
        <w:tc>
          <w:tcPr>
            <w:tcW w:w="43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40" w:type="dxa"/>
            <w:vAlign w:val="bottom"/>
            <w:gridSpan w:val="2"/>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4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2"/>
          </w:tcPr>
          <w:p>
            <w:pPr>
              <w:spacing w:after="0"/>
              <w:rPr>
                <w:sz w:val="16"/>
                <w:szCs w:val="16"/>
                <w:color w:val="auto"/>
              </w:rPr>
            </w:pPr>
          </w:p>
        </w:tc>
        <w:tc>
          <w:tcPr>
            <w:tcW w:w="43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140" w:type="dxa"/>
            <w:vAlign w:val="bottom"/>
            <w:gridSpan w:val="2"/>
          </w:tcPr>
          <w:p>
            <w:pPr>
              <w:spacing w:after="0"/>
              <w:rPr>
                <w:sz w:val="16"/>
                <w:szCs w:val="16"/>
                <w:color w:val="auto"/>
              </w:rPr>
            </w:pP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4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2"/>
            <w:shd w:val="clear" w:color="auto" w:fill="CCEEFF"/>
          </w:tcPr>
          <w:p>
            <w:pPr>
              <w:spacing w:after="0"/>
              <w:rPr>
                <w:sz w:val="16"/>
                <w:szCs w:val="16"/>
                <w:color w:val="auto"/>
              </w:rPr>
            </w:pPr>
          </w:p>
        </w:tc>
        <w:tc>
          <w:tcPr>
            <w:tcW w:w="1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6720" w:type="dxa"/>
            <w:vAlign w:val="bottom"/>
            <w:gridSpan w:val="4"/>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4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500" w:type="dxa"/>
            <w:vAlign w:val="bottom"/>
            <w:gridSpan w:val="2"/>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720" w:type="dxa"/>
            <w:vAlign w:val="bottom"/>
            <w:gridSpan w:val="4"/>
          </w:tcPr>
          <w:p>
            <w:pPr>
              <w:spacing w:after="0"/>
              <w:rPr>
                <w:sz w:val="16"/>
                <w:szCs w:val="16"/>
                <w:color w:val="auto"/>
              </w:rPr>
            </w:pP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4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500" w:type="dxa"/>
            <w:vAlign w:val="bottom"/>
            <w:gridSpan w:val="2"/>
            <w:shd w:val="clear" w:color="auto" w:fill="CCEEFF"/>
          </w:tcPr>
          <w:p>
            <w:pPr>
              <w:spacing w:after="0"/>
              <w:rPr>
                <w:sz w:val="16"/>
                <w:szCs w:val="16"/>
                <w:color w:val="auto"/>
              </w:rPr>
            </w:pPr>
          </w:p>
        </w:tc>
        <w:tc>
          <w:tcPr>
            <w:tcW w:w="85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600" w:type="dxa"/>
            <w:vAlign w:val="bottom"/>
            <w:tcBorders>
              <w:right w:val="single" w:sz="8" w:color="CCEEFF"/>
            </w:tcBorders>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42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7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(this “Report”) and in documents incorporated herein by reference. All statements, other than statements of present or historical fact included in or incorporated by reference in this Report, regarding T1 Energy Inc.’s future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performance, as well as our strategy, future liquidity requirements, financial position, long-term operating plan, estimated revenues and losses, projected costs, expected cash spending, planned capital expenditures, prospects, plans, estimates and objectives of management are forward-looking statements. When used in this Report, the words “anticipate”, “believe”, “continue”, “could”, “estimate”, “expect”, “intends”, “may”, “might”, “plan”,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information as to the outcome and timing of future events. We caution you that these forward-looking statements are subject to all of the risks and uncertainties, most of which are difficult to predict and many of which are beyond our control, incident to our business.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assumptions, and involve a number of risks and uncertainties. Accordingly, forward-looking statements in this Report and in any document incorporated herein by reference should not be relied upon as representing our views as of any subsequent date, and we do not undertake any obligation to update forward-looking statements to reflect events or circumstances after the date they were made, whether as a result of new information, future events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except as may be required under applicable securities laws.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These forward-looking statements involve risks and uncertainties that could cause our actual results to differ materially from those in the forward-looking statements, including, without limitation, the risks set forth in Part I, Item 1A, “Risk Factors” in our Annual Report on Form 10-K for the year</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ended December 31, 2024 filed with the U.S. Securities and Exchange Commission (the “SEC”) on March 31, 2025, as amended and supplemented by Amendment No. 1 on Form 10-K/A filed with the SEC on April 30, 2025, the Risk Factors included in this Quarterly Report on Form 10-Q, and in our other filings with the SEC. We do not assume any obligation to update any forward-looking statements.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2025, we changed our corporate name from FREYR Battery, Inc. to T1 Energy Inc. We will not distinguish between our prior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current corporate name and will refer to our current corporate name throughout this Quarterly Report on Form 10-Q. As such, unless expressly indicated or the context requires otherwise, the terms “T1,” “Company,” “we,” “us,” and “our” in this document refer to T1 Energy Inc., a Delaware corporation, and, where appropriate, its subsidiaries.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T1 intends to use its website as a channel of distribution to disclose information which may be of interest or material to investors and to communicate with investors and the public. Such disclosures will be included on T1’s website in the ‘Investor Relations’ section located at </w:t>
      </w:r>
      <w:r>
        <w:rPr>
          <w:rFonts w:ascii="Times New Roman" w:cs="Times New Roman" w:eastAsia="Times New Roman" w:hAnsi="Times New Roman"/>
          <w:sz w:val="18"/>
          <w:szCs w:val="18"/>
          <w:i w:val="1"/>
          <w:iCs w:val="1"/>
          <w:color w:val="auto"/>
        </w:rPr>
        <w:t>https://ir.t1energy.com/overview/default.aspx</w:t>
      </w:r>
      <w:r>
        <w:rPr>
          <w:rFonts w:ascii="Times New Roman" w:cs="Times New Roman" w:eastAsia="Times New Roman" w:hAnsi="Times New Roman"/>
          <w:sz w:val="18"/>
          <w:szCs w:val="18"/>
          <w:color w:val="auto"/>
        </w:rPr>
        <w:t>. T1 also intends to use certain social media channels, including, but not limited to, our X account</w:t>
      </w:r>
    </w:p>
    <w:p>
      <w:pPr>
        <w:spacing w:after="0" w:line="204" w:lineRule="auto"/>
        <w:tabs>
          <w:tab w:leader="none" w:pos="2120" w:val="left"/>
          <w:tab w:leader="none" w:pos="2520" w:val="left"/>
          <w:tab w:leader="none" w:pos="3360" w:val="left"/>
          <w:tab w:leader="none" w:pos="4100" w:val="left"/>
          <w:tab w:leader="none" w:pos="7660" w:val="left"/>
          <w:tab w:leader="none" w:pos="7980" w:val="left"/>
          <w:tab w:leader="none" w:pos="8480" w:val="left"/>
          <w:tab w:leader="none" w:pos="8820" w:val="left"/>
          <w:tab w:leader="none" w:pos="9480" w:val="left"/>
          <w:tab w:leader="none" w:pos="10340" w:val="left"/>
          <w:tab w:leader="none" w:pos="106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https://x.com/T1_Energy</w:t>
      </w:r>
      <w:r>
        <w:rPr>
          <w:rFonts w:ascii="Times New Roman" w:cs="Times New Roman" w:eastAsia="Times New Roman" w:hAnsi="Times New Roman"/>
          <w:sz w:val="18"/>
          <w:szCs w:val="18"/>
          <w:color w:val="auto"/>
        </w:rPr>
        <w:t>),</w:t>
        <w:tab/>
        <w:t>our</w:t>
        <w:tab/>
        <w:t>LinkedIn</w:t>
        <w:tab/>
        <w:t>account</w:t>
        <w:tab/>
        <w:t>(</w:t>
      </w:r>
      <w:r>
        <w:rPr>
          <w:rFonts w:ascii="Times New Roman" w:cs="Times New Roman" w:eastAsia="Times New Roman" w:hAnsi="Times New Roman"/>
          <w:sz w:val="18"/>
          <w:szCs w:val="18"/>
          <w:i w:val="1"/>
          <w:iCs w:val="1"/>
          <w:color w:val="auto"/>
        </w:rPr>
        <w:t>https://www.linkedin.com/company/t1energy</w:t>
      </w:r>
      <w:r>
        <w:rPr>
          <w:rFonts w:ascii="Times New Roman" w:cs="Times New Roman" w:eastAsia="Times New Roman" w:hAnsi="Times New Roman"/>
          <w:sz w:val="18"/>
          <w:szCs w:val="18"/>
          <w:color w:val="auto"/>
        </w:rPr>
        <w:t>),</w:t>
        <w:tab/>
        <w:t>as</w:t>
        <w:tab/>
        <w:t>well</w:t>
        <w:tab/>
        <w:t>as</w:t>
        <w:tab/>
        <w:t>Daniel</w:t>
        <w:tab/>
        <w:t>Barcelo’s</w:t>
        <w:tab/>
        <w:t>X</w:t>
        <w:tab/>
        <w:t>account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https://x.com/danielbarcelo</w:t>
      </w:r>
      <w:r>
        <w:rPr>
          <w:rFonts w:ascii="Times New Roman" w:cs="Times New Roman" w:eastAsia="Times New Roman" w:hAnsi="Times New Roman"/>
          <w:sz w:val="18"/>
          <w:szCs w:val="18"/>
          <w:color w:val="auto"/>
        </w:rPr>
        <w:t>), LinkedIn account (</w:t>
      </w:r>
      <w:r>
        <w:rPr>
          <w:rFonts w:ascii="Times New Roman" w:cs="Times New Roman" w:eastAsia="Times New Roman" w:hAnsi="Times New Roman"/>
          <w:sz w:val="18"/>
          <w:szCs w:val="18"/>
          <w:i w:val="1"/>
          <w:iCs w:val="1"/>
          <w:color w:val="auto"/>
        </w:rPr>
        <w:t>https://www.linkedin.com/in/daniel-barcelo</w:t>
      </w:r>
      <w:r>
        <w:rPr>
          <w:rFonts w:ascii="Times New Roman" w:cs="Times New Roman" w:eastAsia="Times New Roman" w:hAnsi="Times New Roman"/>
          <w:sz w:val="18"/>
          <w:szCs w:val="18"/>
          <w:color w:val="auto"/>
        </w:rPr>
        <w:t>) and Instagram account (</w:t>
      </w:r>
      <w:r>
        <w:rPr>
          <w:rFonts w:ascii="Times New Roman" w:cs="Times New Roman" w:eastAsia="Times New Roman" w:hAnsi="Times New Roman"/>
          <w:sz w:val="18"/>
          <w:szCs w:val="18"/>
          <w:i w:val="1"/>
          <w:iCs w:val="1"/>
          <w:color w:val="auto"/>
        </w:rPr>
        <w:t>https://www.instagram.com/danbarcelo/</w:t>
      </w:r>
      <w:r>
        <w:rPr>
          <w:rFonts w:ascii="Times New Roman" w:cs="Times New Roman" w:eastAsia="Times New Roman" w:hAnsi="Times New Roman"/>
          <w:sz w:val="18"/>
          <w:szCs w:val="18"/>
          <w:color w:val="auto"/>
        </w:rPr>
        <w:t>), as means of communicating with the public and investors about T1, its progress, products and other matters.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While not all the information that T1 posts to its digital platforms may be deemed to be of a material nature, some information may be. As a result, T1 encourages investors and others interested to review the information that it posts and to monitor such portions of T1’s website and social media channels on a regular basis, in addition to following T1’s press releases, SEC filings, and public conference calls and webcasts. The contents of T1’s website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media channels shall not be deemed incorporated by reference in any filing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ind w:left="4240"/>
        <w:spacing w:after="0" w:line="203" w:lineRule="auto"/>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8"/>
        </w:trPr>
        <w:tc>
          <w:tcPr>
            <w:tcW w:w="7640" w:type="dxa"/>
            <w:vAlign w:val="bottom"/>
            <w:tcBorders>
              <w:top w:val="single" w:sz="8" w:color="CCEEFF"/>
            </w:tcBorders>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72,641</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trade, net - related parties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Government grants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274,549</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Advances to suppliers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164,811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583,170</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285,187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281,881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 under operating leases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111,081</w:t>
            </w:r>
          </w:p>
        </w:tc>
        <w:tc>
          <w:tcPr>
            <w:tcW w:w="0" w:type="dxa"/>
            <w:vAlign w:val="bottom"/>
          </w:tcPr>
          <w:p>
            <w:pPr>
              <w:spacing w:after="0"/>
              <w:rPr>
                <w:sz w:val="1"/>
                <w:szCs w:val="1"/>
                <w:color w:val="auto"/>
              </w:rPr>
            </w:pPr>
          </w:p>
        </w:tc>
      </w:tr>
      <w:tr>
        <w:trPr>
          <w:trHeight w:val="212"/>
        </w:trPr>
        <w:tc>
          <w:tcPr>
            <w:tcW w:w="76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1,431,705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1,335,846</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400" w:type="dxa"/>
            <w:vAlign w:val="bottom"/>
            <w:gridSpan w:val="3"/>
            <w:shd w:val="clear" w:color="auto" w:fill="CCEEFF"/>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REDEEMABLE PREFERRED STOCK AND STOCKHOLDERS’ EQUITY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61,708</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91,346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42,867</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 related party</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414,024</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 - related party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188,316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 related party</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238,896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21,761</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1,180,500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1,098,709</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Convertible series A preferred stock, $0.01 par value, 5,000 issued and outstanding as of both March 31, 2025</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and December 31, 2024 (includes accrued dividends and accretion of $978 and $87 as of March 31, 2025 and</w:t>
            </w:r>
          </w:p>
        </w:tc>
        <w:tc>
          <w:tcPr>
            <w:tcW w:w="2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48,375</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Common stock, $0.01 par value, 155,938 issued and outstanding as of March 31, 2025 and 155,928 issued and</w:t>
            </w:r>
          </w:p>
        </w:tc>
        <w:tc>
          <w:tcPr>
            <w:tcW w:w="2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971,416</w:t>
            </w:r>
          </w:p>
        </w:tc>
        <w:tc>
          <w:tcPr>
            <w:tcW w:w="0" w:type="dxa"/>
            <w:vAlign w:val="bottom"/>
          </w:tcPr>
          <w:p>
            <w:pPr>
              <w:spacing w:after="0"/>
              <w:rPr>
                <w:sz w:val="1"/>
                <w:szCs w:val="1"/>
                <w:color w:val="auto"/>
              </w:rPr>
            </w:pPr>
          </w:p>
        </w:tc>
      </w:tr>
      <w:tr>
        <w:trPr>
          <w:trHeight w:val="213"/>
        </w:trPr>
        <w:tc>
          <w:tcPr>
            <w:tcW w:w="7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(725,238)</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188,762</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redeemable preferred stock,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1,431,705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1,335,846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49" w:right="3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jc w:val="center"/>
        <w:spacing w:after="0" w:line="203" w:lineRule="auto"/>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 related parties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52,587</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15,004</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(15,004)</w:t>
            </w: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 fair value adjustment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liabilities fair value adjustment</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transaction (loss) gain</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16,963</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w:t>
            </w: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 benefit</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w:t>
            </w:r>
          </w:p>
        </w:tc>
      </w:tr>
      <w:tr>
        <w:trPr>
          <w:trHeight w:val="21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(17,385)</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(28,690)</w:t>
            </w:r>
          </w:p>
        </w:tc>
      </w:tr>
      <w:tr>
        <w:trPr>
          <w:trHeight w:val="213"/>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9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6"/>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dividends and accretion</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(17,130)</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outstanding - basic and diluted</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155,933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139,705</w:t>
            </w:r>
          </w:p>
        </w:tc>
      </w:tr>
      <w:tr>
        <w:trPr>
          <w:trHeight w:val="23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from continuing operations - basic and diluted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from discontinued operations - basic and diluted</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 basic and diluted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70"/>
        </w:trPr>
        <w:tc>
          <w:tcPr>
            <w:tcW w:w="7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(28,690)</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26,065</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(26,044)</w:t>
            </w: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(54,734)</w:t>
            </w: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9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Preferred dividends and accretion</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158750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6" w:right="399" w:bottom="1440" w:gutter="0" w:footer="0" w:header="0"/>
        </w:sectPr>
      </w:pPr>
    </w:p>
    <w:bookmarkStart w:id="5" w:name="page6"/>
    <w:bookmarkEnd w:id="5"/>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ind w:right="680"/>
        <w:spacing w:after="0" w:line="23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jc w:val="center"/>
        <w:ind w:right="680"/>
        <w:spacing w:after="0" w:line="203" w:lineRule="auto"/>
        <w:rPr>
          <w:sz w:val="20"/>
          <w:szCs w:val="20"/>
          <w:color w:val="auto"/>
        </w:rPr>
      </w:pPr>
      <w:r>
        <w:rPr>
          <w:rFonts w:ascii="Times New Roman" w:cs="Times New Roman" w:eastAsia="Times New Roman" w:hAnsi="Times New Roman"/>
          <w:sz w:val="18"/>
          <w:szCs w:val="18"/>
          <w:b w:val="1"/>
          <w:bCs w:val="1"/>
          <w:i w:val="1"/>
          <w:iCs w:val="1"/>
          <w:color w:val="auto"/>
        </w:rPr>
        <w:t>(In thousands)</w:t>
      </w: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400"/>
          </w:cols>
          <w:pgMar w:left="1080" w:top="9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Share-based compensation expense</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ind w:left="380" w:hanging="167"/>
        <w:spacing w:after="0" w:line="241" w:lineRule="auto"/>
        <w:rPr>
          <w:sz w:val="20"/>
          <w:szCs w:val="20"/>
          <w:color w:val="auto"/>
        </w:rPr>
      </w:pPr>
      <w:r>
        <w:rPr>
          <w:rFonts w:ascii="Times New Roman" w:cs="Times New Roman" w:eastAsia="Times New Roman" w:hAnsi="Times New Roman"/>
          <w:sz w:val="14"/>
          <w:szCs w:val="14"/>
          <w:color w:val="auto"/>
        </w:rPr>
        <w:t>Reclassification of warrants from liability classified to equity classified</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320" w:type="dxa"/>
            <w:vAlign w:val="bottom"/>
            <w:gridSpan w:val="3"/>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6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4"/>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139,705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1,397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925,623</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(18,826)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(274,999)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1,521</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634,716</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(28,690)</w:t>
            </w:r>
          </w:p>
        </w:tc>
        <w:tc>
          <w:tcPr>
            <w:tcW w:w="0" w:type="dxa"/>
            <w:vAlign w:val="bottom"/>
          </w:tcPr>
          <w:p>
            <w:pPr>
              <w:spacing w:after="0"/>
              <w:rPr>
                <w:sz w:val="1"/>
                <w:szCs w:val="1"/>
                <w:color w:val="auto"/>
              </w:rPr>
            </w:pPr>
          </w:p>
        </w:tc>
      </w:tr>
      <w:tr>
        <w:trPr>
          <w:trHeight w:val="338"/>
        </w:trPr>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10"/>
        </w:trPr>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(26,044)</w:t>
            </w:r>
          </w:p>
        </w:tc>
        <w:tc>
          <w:tcPr>
            <w:tcW w:w="0" w:type="dxa"/>
            <w:vAlign w:val="bottom"/>
          </w:tcPr>
          <w:p>
            <w:pPr>
              <w:spacing w:after="0"/>
              <w:rPr>
                <w:sz w:val="1"/>
                <w:szCs w:val="1"/>
                <w:color w:val="auto"/>
              </w:rPr>
            </w:pPr>
          </w:p>
        </w:tc>
      </w:tr>
      <w:tr>
        <w:trPr>
          <w:trHeight w:val="183"/>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139,705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1,397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929,303</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(44,870)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(303,542)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583,662</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-890905</wp:posOffset>
            </wp:positionV>
            <wp:extent cx="658368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128905"/>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-633730</wp:posOffset>
            </wp:positionV>
            <wp:extent cx="658368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128905"/>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-290830</wp:posOffset>
            </wp:positionV>
            <wp:extent cx="658368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128905"/>
                    </a:xfrm>
                    <a:prstGeom prst="rect">
                      <a:avLst/>
                    </a:prstGeom>
                    <a:noFill/>
                  </pic:spPr>
                </pic:pic>
              </a:graphicData>
            </a:graphic>
          </wp:anchor>
        </w:drawing>
      </w:r>
    </w:p>
    <w:p>
      <w:pPr>
        <w:spacing w:after="0" w:line="2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27305</wp:posOffset>
            </wp:positionV>
            <wp:extent cx="3385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620" w:space="380"/>
            <w:col w:w="7400"/>
          </w:cols>
          <w:pgMar w:left="1080" w:top="96" w:right="4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40" w:type="dxa"/>
            <w:vAlign w:val="bottom"/>
            <w:gridSpan w:val="3"/>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8"/>
                <w:szCs w:val="8"/>
                <w:color w:val="auto"/>
              </w:rPr>
            </w:pPr>
          </w:p>
        </w:tc>
        <w:tc>
          <w:tcPr>
            <w:tcW w:w="104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80" w:type="dxa"/>
            <w:vAlign w:val="bottom"/>
            <w:gridSpan w:val="3"/>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9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8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971,416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(725,238)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188,762</w:t>
            </w:r>
          </w:p>
        </w:tc>
        <w:tc>
          <w:tcPr>
            <w:tcW w:w="0" w:type="dxa"/>
            <w:vAlign w:val="bottom"/>
          </w:tcPr>
          <w:p>
            <w:pPr>
              <w:spacing w:after="0"/>
              <w:rPr>
                <w:sz w:val="1"/>
                <w:szCs w:val="1"/>
                <w:color w:val="auto"/>
              </w:rPr>
            </w:pPr>
          </w:p>
        </w:tc>
      </w:tr>
      <w:tr>
        <w:trPr>
          <w:trHeight w:val="196"/>
        </w:trPr>
        <w:tc>
          <w:tcPr>
            <w:tcW w:w="2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4,242</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(16,239)</w:t>
            </w:r>
          </w:p>
        </w:tc>
        <w:tc>
          <w:tcPr>
            <w:tcW w:w="0" w:type="dxa"/>
            <w:vAlign w:val="bottom"/>
          </w:tcPr>
          <w:p>
            <w:pPr>
              <w:spacing w:after="0"/>
              <w:rPr>
                <w:sz w:val="1"/>
                <w:szCs w:val="1"/>
                <w:color w:val="auto"/>
              </w:rPr>
            </w:pPr>
          </w:p>
        </w:tc>
      </w:tr>
      <w:tr>
        <w:trPr>
          <w:trHeight w:val="196"/>
        </w:trPr>
        <w:tc>
          <w:tcPr>
            <w:tcW w:w="2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Preferred dividends and accretion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26,065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26,065</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(741,477)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201,939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158750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080" w:top="96" w:right="41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20"/>
        <w:spacing w:after="0" w:line="203" w:lineRule="auto"/>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(28,690)</w:t>
            </w: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discount on long-term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 in the carrying amount of right-of-use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 fair value adjustment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net loss of equity method investee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net unrealized gain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 and other current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 grants receivable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(16,218)</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return of property and equipment deposits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19,021</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w:t>
            </w:r>
          </w:p>
        </w:tc>
      </w:tr>
      <w:tr>
        <w:trPr>
          <w:trHeight w:val="23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fees paid</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changes in foreign exchange rates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252,766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disclosure for non-cash activities:</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condensed consolidated balance sheets: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252,766</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6"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1" w:lineRule="exact"/>
        <w:rPr>
          <w:sz w:val="20"/>
          <w:szCs w:val="20"/>
          <w:color w:val="auto"/>
        </w:rPr>
      </w:pPr>
    </w:p>
    <w:p>
      <w:pPr>
        <w:ind w:right="6360" w:firstLine="8"/>
        <w:spacing w:after="0" w:line="401"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the Business</w:t>
      </w:r>
    </w:p>
    <w:p>
      <w:pPr>
        <w:spacing w:after="0" w:line="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T1 Energy Inc., a Delaware corporation (“T1,” the “Company”, “we”, or “us”), is an energy solutions provider building an integrated U.S. supply chain for solar and batteries. We manufacture and sell photovoltaic (“PV”) solar modules in the United States for our U.S. customers.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in conformity with the accounting principles generally accepted in the U.S. (“U.S. GAAP”) for interim financial information and with the instructions to Form 10-Q and Article 10 of U.S. Securities and Exchange Commission (“SEC”) Regulation S-X. Accordingly, these financial statements do not include all of the information required by U.S. GAAP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consolidated financial statements.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on the same basis as the audited annual consolidated financial statements for the year ended December 31, 2024 and, in management’s opinion, include all adjustments, consisting of only normal recurring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adjustments necessary for the fair presentation of the Company’s condensed consolidated financial statements for the periods presented. The results of operations for the three months ended March 31, 2025, are not necessarily indicative of the results to be expected for the full year ending December 31, 2025. The condensed consolidated balance sheet as of December 31, 2024, was derived from the audited consolidated financial statements as of December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31, 2024. However, these condensed consolidated interim financial statements do not contain all of the footnote disclosures from the annual consolidated financial statements. These unaudited condensed consolidated interim financial statements should be read in conjunction with the audited consolidated financial statements and the related notes included in the Company’s Annual Report on Form 10-K for the year ended December 31, 2024 filed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on March 31, 2025, as amended and supplemented by Amendment No. 1 on Form 10-K/A filed with the SEC on April 30, 2025.</w:t>
      </w:r>
    </w:p>
    <w:p>
      <w:pPr>
        <w:spacing w:after="0" w:line="11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T1, its wholly owned subsidiaries, majority-owned subsidiaries, and variable interest entities (“VIE”) of which we are the primary beneficiary. All intercompany accounts and transactions have been eliminated. Certain prior period balances and amounts have been reclassified to conform with the current period’s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the amounts reported in the condensed consolidated financial statements and accompanying notes. Estimates and assumptions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include, but are not limited to, estimates related to the fair value less costs to sell for assets held for sale, impairment of long-lived assets, derivative liability, the valuation of warrant liability, anti-dilution right and share-based compensation. We base these estimates on historical experiences and on various other assumptions that we believe are reasonable under the circumstances, however, actual results may differ materially from these estimates.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subject to those risks common to our business and industry and also those risks common to early stage development companies. These risks include those disclosed in Part I, Item 1A, of our Annual Report on Form 10-K for the year ended December 31, 2024 filed with the SEC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as amended and supplemented by Amendment No. 1 on Form 10-K/A filed with the SEC on April 30, 2025.</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by management in accordance with U.S. GAAP and this basis assumes that we will continue as a going concern, which contemplates the realization of assets and the satisfaction of liabilities and commitments in the normal course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As of the date of this Report, our existing cash resources, which were primarily provided as a result of the business combination with Alussa Energy Acquisition Corporation in 2021 (the “Alussa Business Combination”) and issuance of equity securities, are sufficient to support our planned operations for at least the next 12 months from the date of issuance of these financial statements. Therefore, our financial statements have been prepared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basis that we will continue as a going concern.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cash balances are restricted as to withdrawal or use. Restricted cash includes funds held in a restricted account for the payment of upfront rental lease deposits and government income tax withholdings.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we recognized revenue of $31.8 million that was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 of disaggregated information about specific categories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We are currently evaluating the impact of the adoption of this standard.</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The ASU establishes new income tax disclosure requirements in addition to modifying and eliminating certain existing requirements. The ASU is effective for annual periods beginning after December 15, 2024. Early adoption is permitted. Upon adoption, the ASU can be applied prospectively or retrospectively. Adoption of this guidance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required additional disclosures being included in our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253,409</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274,549</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5240" w:firstLine="8"/>
        <w:spacing w:after="0" w:line="401"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AND INTANGIBLE ASSETS, NET Property and Equipment, net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284,136</w:t>
            </w:r>
          </w:p>
        </w:tc>
      </w:tr>
      <w:tr>
        <w:trPr>
          <w:trHeight w:val="223"/>
        </w:trPr>
        <w:tc>
          <w:tcPr>
            <w:tcW w:w="7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80" w:firstLine="648"/>
        <w:spacing w:after="0" w:line="391" w:lineRule="auto"/>
        <w:rPr>
          <w:sz w:val="20"/>
          <w:szCs w:val="20"/>
          <w:color w:val="auto"/>
        </w:rPr>
      </w:pPr>
      <w:r>
        <w:rPr>
          <w:rFonts w:ascii="Times New Roman" w:cs="Times New Roman" w:eastAsia="Times New Roman" w:hAnsi="Times New Roman"/>
          <w:sz w:val="18"/>
          <w:szCs w:val="18"/>
          <w:color w:val="auto"/>
        </w:rPr>
        <w:t xml:space="preserve">Depreciation expense was $3.5 million and $0.2 million for the three months ended March 31, 2025 and 2024, respectively. </w:t>
      </w:r>
      <w:r>
        <w:rPr>
          <w:rFonts w:ascii="Times New Roman" w:cs="Times New Roman" w:eastAsia="Times New Roman" w:hAnsi="Times New Roman"/>
          <w:sz w:val="18"/>
          <w:szCs w:val="18"/>
          <w:b w:val="1"/>
          <w:bCs w:val="1"/>
          <w:color w:val="auto"/>
        </w:rPr>
        <w:t>Intangible Assets, net</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Trina Business Combination, we recognized intangible assets related to customer contracts. An estimated useful life of 5 years was determined based on contractual terms of the offtake agreements.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80" w:type="dxa"/>
            <w:vAlign w:val="bottom"/>
            <w:tcBorders>
              <w:bottom w:val="single" w:sz="8" w:color="auto"/>
            </w:tcBorders>
          </w:tcPr>
          <w:p>
            <w:pPr>
              <w:spacing w:after="0"/>
              <w:rPr>
                <w:sz w:val="20"/>
                <w:szCs w:val="20"/>
                <w:color w:val="auto"/>
              </w:rPr>
            </w:pPr>
          </w:p>
        </w:tc>
      </w:tr>
      <w:tr>
        <w:trPr>
          <w:trHeight w:val="174"/>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5"/>
                <w:szCs w:val="15"/>
                <w:color w:val="auto"/>
              </w:rPr>
            </w:pPr>
          </w:p>
        </w:tc>
        <w:tc>
          <w:tcPr>
            <w:tcW w:w="126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5"/>
                <w:szCs w:val="15"/>
                <w:color w:val="auto"/>
              </w:rPr>
            </w:pPr>
          </w:p>
        </w:tc>
        <w:tc>
          <w:tcPr>
            <w:tcW w:w="128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281,881</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$11.2 million and zero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Future annual amortization expense is estimated to be as follows (in thousands):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42,636</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270,686</w:t>
            </w:r>
          </w:p>
        </w:tc>
        <w:tc>
          <w:tcPr>
            <w:tcW w:w="0" w:type="dxa"/>
            <w:vAlign w:val="bottom"/>
          </w:tcPr>
          <w:p>
            <w:pPr>
              <w:spacing w:after="0"/>
              <w:rPr>
                <w:sz w:val="1"/>
                <w:szCs w:val="1"/>
                <w:color w:val="auto"/>
              </w:rPr>
            </w:pPr>
          </w:p>
        </w:tc>
      </w:tr>
      <w:tr>
        <w:trPr>
          <w:trHeight w:val="45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ACCRUED LIABILITIES AND OTHER</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purchases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65,146</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payroll and payroll related expenses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DEBT</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Our debt arrangements consisted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 Agreement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Trina Solar AG Note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Trina Solar (U.S.), Inc. Production Reserve Fee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 - related party</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principal</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(82,723)</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602,277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507,910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Trina Solar AG Note</w:t>
      </w:r>
    </w:p>
    <w:p>
      <w:pPr>
        <w:spacing w:after="0" w:line="148"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Trina Business Combination, we entered into a credit agreement with Trina Solar (Schweiz) AG, a related party. The principal on the note is payable in quarterly installments of $7.5 million commencing on December 31, 2025 and concluding on the December 23, 2029 maturity date with the repayment of the final $30.0 million. The note bears interest at a rate per annum equal to 1.0%.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Trina Solar (U.S.), Inc. Production Reserve Fee</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connection with the Trina Business Combination, we assumed a debt obligation with Trina Solar (U.S.), Inc., a related party. The principal on the debt is payable in annual installments of $44.0 million commencing on the first anniversary of the business combination date. Provided that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Company makes all scheduled installment payments, the debt will bear no interest. However, if the Company fails to make an installment payment, both parties shall negotiate a revised payment schedule in good faith, and any unpaid installment balance will accrue interest at a rate of 6.0% per annum.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Trina Business Combination, we assumed a credit agreement with a consortium of banks, with HSBC Bank USA, N.A.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serving as the administrative agent (the “Credit Agreement”). This Credit Agreement provides for $235.0 million in borrowings through a senior secured construction-to-term loan facility. The Facility is dedicated to financing the development, construction, and operation of our five gigawatt solar module manufacturing project in Wilmer, Texas, as well as funding related fees and expenses. The Credit Agreement matures on December 31, 2029.</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0" w:name="page11"/>
    <w:bookmarkEnd w:id="10"/>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Borrowings under the Credit Agreement are secured by substantially all of our project-related assets. Interest on amounts drawn accrues at our option of either (i) a base rate (as defined in the Credit Agreement) plus a margin of 3.5% or (ii) the Secured Overnight Financing Rate (“SOFR”) plus a margin of 2.5%. We may prepay the outstanding amounts or reduce the commitment in whole or in part at any time, subject to certain customary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conditions. The Credit Agreement requires us to comply with specified financial and non-financial covenants, including the maintenance of certain leverage ratios, a debt service ratio and a facility commissioning deadline. We were in compliance with the financial and non-financial covenants in the Credit Agreement as of March 31, 2025.</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Following the substantial completion of the Wilmer facility and satisfaction of other conditions precedent, the Credit Agreement was converted from a construction loan to a term loan on April 30, 2025. In connection with the conversion, we amended the Credit Agreement to reduce the balance required for our debt service reserve account for the initial period starting on April 30, 2025 and ending on June 30, 2025. As a result, we transferred $22.3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into a restricted cash account to fund the scheduled principal installment and interest payable on June 30,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 related party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Trina Business Combination, we issued an $80.0 million convertible note due in five years to Trina Solar (Schweiz) AG,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related party. The note will convert into our common stock in two stages: (i) into 12.5 million shares of common stock, subject to certain adjustments, within five business days of obtaining approval from the Committee on Foreign Investment in the United States (“CFIUS”) on the Trina Business Combination and (ii) into 17.9 million shares of common stock, subject to certain adjustments, within five business days of securing required stockholder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approval. If these conditions are not met, the convertible note may be replaced with a new unsecured senior note on similar terms. The convertible note bears interest at 7% per annum, escalating by an additional 3% every 60 days if conversion does not occur within specified deadlines. As of March 31, 2025, $82.1 million was outstanding on the convertible note.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 of March 31, 2025, our debt borrowing rates were as follows:</w:t>
            </w: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 Agreement</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4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Effective Interest Rate</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Trina Solar AG Note</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Trina Solar (U.S.), Inc. Production Reserve</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11"/>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SOFR plus 2.5%</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 - related party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5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of Principal Maturities of Debt</w:t>
            </w: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7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aggregate maturities of long-term debt as of March 31, 2025 were as follows (in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40" w:type="dxa"/>
            <w:vAlign w:val="bottom"/>
            <w:gridSpan w:val="2"/>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98,367</w:t>
            </w:r>
          </w:p>
        </w:tc>
        <w:tc>
          <w:tcPr>
            <w:tcW w:w="0" w:type="dxa"/>
            <w:vAlign w:val="bottom"/>
          </w:tcPr>
          <w:p>
            <w:pPr>
              <w:spacing w:after="0"/>
              <w:rPr>
                <w:sz w:val="1"/>
                <w:szCs w:val="1"/>
                <w:color w:val="auto"/>
              </w:rPr>
            </w:pPr>
          </w:p>
        </w:tc>
      </w:tr>
      <w:tr>
        <w:trPr>
          <w:trHeight w:val="157"/>
        </w:trPr>
        <w:tc>
          <w:tcPr>
            <w:tcW w:w="6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136,357</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141,578</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140,951</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600" w:firstLine="8"/>
        <w:spacing w:after="0" w:line="401"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From time to time, we may be subject to legal and regulatory actions that arise in the ordinary course of business. The assessment as to whether a loss is probable or reasonably possible, and if such loss or a range of losses is estimable, often involves significant judgment, including estimates and assumptions about future events.</w:t>
      </w:r>
    </w:p>
    <w:p>
      <w:pPr>
        <w:spacing w:after="0" w:line="117"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To the knowledge of our management, as of March 31, 2025 there is no material litigation, claims, or actions currently pending or threatened against us, any of our officers, or directors in their capacity as such, or against any of our property.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and Private Warrants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and December 31, 2024, we had 24.6 million warrants outstanding (the “Warrants”), consisting of 14.7 million public</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warrants (the “Public Warrants”) and 9.9 million private warrants (the “Private Warrants”) as of March 31, 2025 and December 31, 2024. Each Warrant entitles the holder thereof to purchase one share of our common stock at a price of $11.50 per share, subject to adjustments. The Warrants will expire on July 9, 2026, or earlier upon redemption or liquidation.</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may call the Public Warrants for redemption once they become exercisable, in whole and not in part, at a price of $0.01 per Public Warrant, so long as we provide at least 30 days prior written notice of redemption to each Public Warrant holder, and if, and only if, the reported last sales price of our common stock equals or exceeds $18.00 per share for each of 20 trading days within the 30 trading-day period ending on the third trading day before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date on which we send the notice of redemption to the Public Warrant holders. We determined that the Public Warrants are equity classified as they are indexed to our common stock and qualify for classification within stockholders’ equity. As such, the Public Warrants are presented as part of additional paid-in capital on the condensed consolidated balance sheets.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so long as they are held by a certain holder or any of its permitted transferees, the Private Warrants: (i) may be exercised for cash or on a cashless basis and (ii) shall not be redeemable by us. We determined that the Private Warrants are not considered indexed to our common stock as the holder of the Private Warrants impacts the settlement amount and thus, they are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The Private Warrants are presented as other long-term liabilities on the condensed consolidated balance sheets.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If Private Warrants are sold or transferred to another party that is not the specified holder or any of its permitted transferees, the Private Warrants become Public Warrants and qualify for classification within stockholders’ equity at the fair value on the date of the transfer. See also Note 9 – Fair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w:t>
      </w:r>
    </w:p>
    <w:p>
      <w:pPr>
        <w:spacing w:after="0" w:line="107" w:lineRule="exact"/>
        <w:rPr>
          <w:sz w:val="20"/>
          <w:szCs w:val="20"/>
          <w:color w:val="auto"/>
        </w:rPr>
      </w:pPr>
    </w:p>
    <w:p>
      <w:pPr>
        <w:ind w:right="2420" w:firstLine="8"/>
        <w:spacing w:after="0" w:line="393"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PREFERRED STOCK, ANTI-DILUTION RIGHT, AND SHARE PURCHASE AGREEMENT Redeemable Preferred Stock</w:t>
      </w:r>
    </w:p>
    <w:p>
      <w:pPr>
        <w:spacing w:after="0" w:line="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2025, 5.0 million shares of non-voting Convertible Series A Preferred Stock (“Preferred Stock”) are issued and outstanding. Each share of Preferred Stock has a stated value of $10.00, for an aggregate value of $50.0 million.</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Preferred Stock was issued to certain funds and accounts managed by Encompass Capital Advisors LLC, a related party, and has a term of 3 years from December 23, 2024. If not converted by the holder, we are required to redeem the Preferred Stock at maturity at par value plus any accrued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unpaid dividends. The Preferred Stock will rank senior to the Common Stock but junior to all debt obligations of the Company and will have a liquidation preference equal to $10.00 per share of Preferred Stock plus accrued but unpaid dividends. The Preferred Stock carries 6% cash dividends, accruing on the funding of the first tranche and payable in arrears (i) on the dividend date 18 months after the first tranche funding and (ii) every six months after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For the three months ended March 31, 2025, we recognized $0.8 million of accumulated and unpaid dividends.</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At our sole discretion upon proceeding to a final investment decision on a solar cell manufacturing facility, we may issue an additional second tranche of 5.0 million shares of Series A Preferred Stock to the holders in exchange for $50.0 million (“Tranche Right”).</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Preferred Stock has a conversion price of $2.50 per share of Common Stock, however if we elect not to utilize the Tranche Right on the date that the Company proceeds with its final investment decision with respect to a solar cell manufacturing facility, the conversion price is reduced to $1.79 per share of Common Stock. The conversion rights are held by the holder of the Preferred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Right</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connection with the Trina Business Combination, we provided Trina Solar (Schweiz) AG the right (“Anti-dilution Right”), but not the obligation, to acquire a number of shares of our common stock so that Trina Solar (Schweiz) AG’s proportionate ownership of our common stock after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conversion of the Preferred Stock will be the same as before the conversion at a price equal to $2.50 per share of our common stock or otherwise equal to the price for the conversion of Preferred Stock. We determined that the Anti-dilution Right was a freestanding financial instrument and classified it as an other long term liability on our condensed consolidated balance sheets, initially recorded at fair value. The Anti-dilution Right is subsequently revalued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anti-dilution shares are issued or expired, with changes in fair value for each reporting period recognized in derivative liabilities fair value adjustment.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November 6, 2024, the Company and an investor who is a significant shareholder of Trina Solar, entered into a share purchase agreement (“Share Purchase Agreement”) pursuant to which the investor subscribed to purchase a total of $14.8 million of common stock for $1.05 per share.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purchase and sale of the shares are conditioned upon, amongst other things, CFIUS approval of the transaction. In the event CFIUS approval does not occur, the Company will not be obligated to proceed with the transaction and the Company shall use its best efforts, within six months, to sell an equivalent number of shares of Common Stock in a private offering or public offering at such price per share as the Company shall determine in its absolute direction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“Alternative Transaction Purchase Price”). If the Alternative Transaction Purchase Price (net of any commissions, fees and expenses) exceeds $1.05, the Company shall pay to the investor an amount equal to the excess multiplied by the number of shares sold (up to the number of shares proposed to be sold pursuant to this agreement). In the event that the Company has not been able to complete such sale of Common Stock by the end of such six month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period, no payment shall be due from the Company to the investor. We recognized the Share Purchase Agreement as a derivative liability on our condensed consolidated balance sheets and initially recorded it at fair value. The Share Purchase Agreement is subsequently revalued until shares are issued or in the event of CFIUS turndown, a cash payment occurs with changes in fair value for each reporting period recognized in derivative liabilities fair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liabilities measured at fair value on a recurring basis, by level within the fair value hierarchy,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Anti-dilution Right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34"/>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Purchase Agreement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measure our Anti-dilution Right, Share Purchase Agreement and warrant liabilities for Private Warrants at fair value based on significant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inputs not observable in the market, which caused them to be classified as Level 3 measurements within the fair value hierarchy. The valuation uses assumptions and estimates that we believe a market participant would use when making the same valuation. Changes in the fair value of the Anti-dilution Right, Share Purchase Agreement and Private Warrants were recognized under other expenses, net in the condensed consolidated statements of operations and comprehensive loss.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and December 31, 2024, the carrying value of all other financial assets and liabilities approximated their respective fair</w:t>
      </w:r>
    </w:p>
    <w:p>
      <w:pPr>
        <w:spacing w:after="0"/>
        <w:rPr>
          <w:sz w:val="20"/>
          <w:szCs w:val="20"/>
          <w:color w:val="auto"/>
        </w:rPr>
      </w:pPr>
      <w:r>
        <w:rPr>
          <w:rFonts w:ascii="Times New Roman" w:cs="Times New Roman" w:eastAsia="Times New Roman" w:hAnsi="Times New Roman"/>
          <w:sz w:val="18"/>
          <w:szCs w:val="18"/>
          <w:color w:val="auto"/>
        </w:rPr>
        <w:t>values.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Right</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Anti-dilution Right was valued using the Black-Scholes-Merton option pricing model. See Note 8 – Redeemable Preferred Stock, Anti-dilution Right, and Share Purchase Agreement above for further details. Our use of the Black-Scholes-Merton option pricing model for the Anti-dilution Right, required the use of subjective assumptions,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based on the U.S. Treasury Rates commensurate with the contractual terms of the Anti-dilution Right.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determined based on the expiration date of the Anti-dilution Right.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implied volatility from the Company’s stock price.</w:t>
      </w:r>
    </w:p>
    <w:p>
      <w:pPr>
        <w:spacing w:after="0" w:line="14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fair value of the Anti-dilution Right was determined using this approach, an exercise price of $2.50, and a share price of $1.26 as of March 31, 2025 and $2.58 as of December 31, 2024. An increase in each of the risk-free interest rate, expected term, or expected volatility, in isolation, would increase the fair value measurement, and a decrease in each of these assumptions would decrease the fair value measurement of the Anti-dilution Right.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Share Purchase Agreement was valued using the Black-Scholes-Merton option pricing model. See Note 8 – Redeemable Preferred Stock, Anti-dilution Right, and Share Purchase Agreement above for further details. Our use of the Black-Scholes-Merton option pricing model for the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required the use of subjective assumptions, including:</w:t>
      </w:r>
    </w:p>
    <w:p>
      <w:pPr>
        <w:spacing w:after="0" w:line="111" w:lineRule="exact"/>
        <w:rPr>
          <w:sz w:val="20"/>
          <w:szCs w:val="20"/>
          <w:color w:val="auto"/>
        </w:rPr>
      </w:pPr>
    </w:p>
    <w:p>
      <w:pPr>
        <w:ind w:left="6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based on the U.S. Treasury Rates commensurate with the contractual terms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determined based on the expected transaction date of the Share Purchase Agreement.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implied volatility from the Company’s stock price.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Share Purchase Agreement was determined using this approach, an exercise price of $1.05, and a share price of $1.26 as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March 31, 2025 and $2.58 as of December 31, 2024. An increase in each of the risk-free interest rate, expected term, or expected volatility, in isolation, would increase the fair value measurement, and a decrease in each of these assumptions would decrease the fair value measurement of the Share Purchase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Warrants</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Private Warrants were valued using the Black-Scholes-Merton option pricing model. See Note 7 – Warrants above for further details. Our use of the Black-Scholes-Merton option pricing model for the Private Warrants, required the use of subjective assumptions, including:</w:t>
      </w:r>
    </w:p>
    <w:p>
      <w:pPr>
        <w:spacing w:after="0" w:line="11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based on the U.S. Treasury Rates commensurate with the contractual terms of the Private Warrants.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determined based on the expiration date of the Private Warrants.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implied volatility from the publicly traded Public Warrants.</w:t>
      </w:r>
    </w:p>
    <w:p>
      <w:pPr>
        <w:spacing w:after="0" w:line="14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fair value of the Private Warrants was determined using this approach, an exercise price of $11.50, and a share price of $1.26 as of March 31, 2025 and $2.58 as of December 31, 2024. An increase in each of the risk-free interest rate, expected term, or expected volatility, in isolation, would increase the fair value measurement, and a decrease in each of these assumptions would decrease the fair value measurement of the Private Warrants.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Level 3 Fair Value Instruments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Level 3 instruments measured at fair value on a recurring basis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7"/>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223"/>
        </w:trPr>
        <w:tc>
          <w:tcPr>
            <w:tcW w:w="6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Anti-dilution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 Purchase</w:t>
            </w:r>
          </w:p>
        </w:tc>
      </w:tr>
      <w:tr>
        <w:trPr>
          <w:trHeight w:val="243"/>
        </w:trPr>
        <w:tc>
          <w:tcPr>
            <w:tcW w:w="6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3,306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30"/>
        </w:trPr>
        <w:tc>
          <w:tcPr>
            <w:tcW w:w="6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(1,567)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(13,349)</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1,739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8660" w:firstLine="8"/>
        <w:spacing w:after="0" w:line="393"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355.0 million shares of common stock were authorized with a par value of $0.01 per share and 155.9 million shares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common stock were outstanding. Holders of common stock are entitled to one vote per share and to receive dividends when, as, and if, declared by our Board of Directors. As of March 31, 2025, we have not declared any dividends.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Plan</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June 2021, we adopted the 2021 Equity Incentive Plan (amended and restated as of April 22, 2024), (the “2021 Plan”). The 2021 Plan provides for the grant of stock options, restricted stock, restricted stock units (“RSUs”), stock appreciation rights, performance units, and performance shares to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employees, directors, and consultants. Generally, our stock options and RSUs vest annually over three years and our stock options are exercisable over a maximum period of five years from their grant dates. Options are typically forfeited when the employment relationship ends for employees and they do not typically forfeit for directors. Generally, our RSUs are equity-classified awards, as they are share settled. All exercised options are expected to be settled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shares, net of shares withheld to satisfy the award exercise price. As of March 31, 2025, a total of 34.9 million shares were authorized for issuance to satisfy share-based compensation awards made under the 2021 Plan.</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0.1 million options were granted, 2.0 million options were forfeited, 0.2 million options were exercised, 2.5 million RSUs were granted and 0.8 million RSUs vested.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provision for income taxes is recorded at the end of each interim period based on our best estimate of our effective income tax rate expected to be applicable for the full fiscal year. Our effective income tax rate was 38% for the three months ended March 31, 2025, and 0% for the three months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ended March 31, 2024. The increase in the tax rate is due to excess net deferred tax liabilities related to the Trina Business Combination, which provided a source of future taxable income to support the partial realization of the Company’s deferred tax assets. For the three months ended March 31, 2025, the Company’s effective income tax rate differed from the U.S. statutory rate of 21% primarily due to non-deductible fair value changes. For the three months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ended March 31, 2024, the Company’s effective income tax rate differed from the U.S. statutory rate of 21% primarily due to changes in the valuation allowance.</w:t>
      </w:r>
    </w:p>
    <w:p>
      <w:pPr>
        <w:spacing w:after="0" w:line="99" w:lineRule="exact"/>
        <w:rPr>
          <w:sz w:val="20"/>
          <w:szCs w:val="20"/>
          <w:color w:val="auto"/>
        </w:rPr>
      </w:pPr>
    </w:p>
    <w:p>
      <w:pPr>
        <w:ind w:right="7980" w:firstLine="8"/>
        <w:spacing w:after="0" w:line="401" w:lineRule="auto"/>
        <w:tabs>
          <w:tab w:leader="none" w:pos="2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Trina Group</w:t>
      </w:r>
    </w:p>
    <w:p>
      <w:pPr>
        <w:spacing w:after="0" w:line="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have related party balances and transactions with Trina Solar (Schweiz) AG and its affiliates (the “Trina Group”) as a result of the business combination and through the normal course of business.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Module sales of $64.6 million to the Trina Group are presented as net sales for the three months ended March 31, 2025. Deferred revenue from offtake agreements with the Trina Group of $51.5 million and $40.2 million is recognized under deferred revenue as of March 31, 2025 and December 31, 2024. In addition, the Company has agreements with the Trina Group to supply certain materials and components used in our solar module production.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March 31, 2025 and December 31, 2024, payables to related parties of $88.9 million and $52.5 million were recognized in relation to these agreements.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consideration for the Trina Business Combination, we issued a note payable, a convertible note, and a derivative anti-dilution right to the Trina Group. In addition, the Company assumed an existing debt obligation to the Trina Group. Refer to Note 5 - Debt and Note 8 - Redeemable Preferred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Right, and Share Purchase Agreement for additional details on these instruments.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computation of basic and diluted net loss per share attributable to common stockholders is as follows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(11,305)</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(17,385)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(28,543)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 and diluted</w:t>
            </w:r>
          </w:p>
        </w:tc>
        <w:tc>
          <w:tcPr>
            <w:tcW w:w="16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155,933</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139,705</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from continuing operations - basic and diluted</w:t>
            </w:r>
          </w:p>
        </w:tc>
        <w:tc>
          <w:tcPr>
            <w:tcW w:w="1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from discontinued operations, net of tax - basic and diluted</w:t>
            </w:r>
          </w:p>
        </w:tc>
        <w:tc>
          <w:tcPr>
            <w:tcW w:w="1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220"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 outstanding securities that could potentially dilute basic net loss per share in the future that were not included in the computation of diluted net loss per share, as the impact would be antidilutive, are as follows (in thousands):</w:t>
      </w:r>
    </w:p>
    <w:p>
      <w:pPr>
        <w:spacing w:after="0" w:line="11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preferred stock (on as converted basis)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79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EDGE 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14. DISCONTINUED OPERATIONS</w:t>
      </w:r>
    </w:p>
    <w:p>
      <w:pPr>
        <w:spacing w:after="0" w:line="13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As of December 31, 2024, we determined that the assets for our European businesses and our Coweta County, Georgia, business met the criteria for classification as held for sale. Additionally, we concluded that the ultimate disposal will represent a strategic shift that will have a major effect on the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Company’s operations and financial results. Therefore, the historical results of these businesses are classified as discontinued operations for all periods presented herein.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15, 2025, we completed the sale of our land in Coweta County, Georgia, for $50.0 million. Concurrently with the sale, we repaid a</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government grant of $20.0 million. As of March 31, 2025, $7.0 million of repayable government grants for the project are classified within current liabilities of discontinued operations on our condensed consolidated balance sheet.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net loss from discontinued operations, net of taxes,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30"/>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0"/>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of net loss of equity method investee</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0" w:type="dxa"/>
            <w:vAlign w:val="bottom"/>
          </w:tcPr>
          <w:p>
            <w:pPr>
              <w:spacing w:after="0"/>
              <w:rPr>
                <w:sz w:val="1"/>
                <w:szCs w:val="1"/>
                <w:color w:val="auto"/>
              </w:rPr>
            </w:pPr>
          </w:p>
        </w:tc>
      </w:tr>
      <w:tr>
        <w:trPr>
          <w:trHeight w:val="157"/>
        </w:trPr>
        <w:tc>
          <w:tcPr>
            <w:tcW w:w="74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0" w:type="dxa"/>
            <w:vAlign w:val="bottom"/>
          </w:tcPr>
          <w:p>
            <w:pPr>
              <w:spacing w:after="0"/>
              <w:rPr>
                <w:sz w:val="1"/>
                <w:szCs w:val="1"/>
                <w:color w:val="auto"/>
              </w:rPr>
            </w:pPr>
          </w:p>
        </w:tc>
      </w:tr>
      <w:tr>
        <w:trPr>
          <w:trHeight w:val="234"/>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42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7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held for sale valuation allowance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(loss) income, net</w:t>
            </w:r>
          </w:p>
        </w:tc>
        <w:tc>
          <w:tcPr>
            <w:tcW w:w="42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157"/>
        </w:trPr>
        <w:tc>
          <w:tcPr>
            <w:tcW w:w="74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0" w:type="dxa"/>
            <w:vAlign w:val="bottom"/>
          </w:tcPr>
          <w:p>
            <w:pPr>
              <w:spacing w:after="0"/>
              <w:rPr>
                <w:sz w:val="1"/>
                <w:szCs w:val="1"/>
                <w:color w:val="auto"/>
              </w:rPr>
            </w:pPr>
          </w:p>
        </w:tc>
      </w:tr>
      <w:tr>
        <w:trPr>
          <w:trHeight w:val="234"/>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74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Allocated general corporate overhead costs do not meet the criteria to be presented within net loss from discontinued operations, net of tax, and were excluded from all figures presented in the table above.</w:t>
      </w:r>
    </w:p>
    <w:p>
      <w:pPr>
        <w:spacing w:after="0" w:line="9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Details of the assets and liabilities of discontinued operations classified as held for sale in the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 under operating leases</w:t>
            </w:r>
          </w:p>
        </w:tc>
        <w:tc>
          <w:tcPr>
            <w:tcW w:w="22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68"/>
        </w:trPr>
        <w:tc>
          <w:tcPr>
            <w:tcW w:w="74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64,909</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0" w:type="dxa"/>
            <w:vAlign w:val="bottom"/>
          </w:tcPr>
          <w:p>
            <w:pPr>
              <w:spacing w:after="0"/>
              <w:rPr>
                <w:sz w:val="1"/>
                <w:szCs w:val="1"/>
                <w:color w:val="auto"/>
              </w:rPr>
            </w:pPr>
          </w:p>
        </w:tc>
      </w:tr>
      <w:tr>
        <w:trPr>
          <w:trHeight w:val="223"/>
        </w:trPr>
        <w:tc>
          <w:tcPr>
            <w:tcW w:w="7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51,009</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ind w:firstLine="648"/>
        <w:spacing w:after="0" w:line="237"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condensed consolidated statements of cash flows. Cash flow and non-cash information for the discontinued operations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1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23"/>
        </w:trPr>
        <w:tc>
          <w:tcPr>
            <w:tcW w:w="742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tcPr>
          <w:p>
            <w:pPr>
              <w:spacing w:after="0"/>
              <w:rPr>
                <w:sz w:val="19"/>
                <w:szCs w:val="19"/>
                <w:color w:val="auto"/>
              </w:rPr>
            </w:pPr>
          </w:p>
        </w:tc>
        <w:tc>
          <w:tcPr>
            <w:tcW w:w="1980" w:type="dxa"/>
            <w:vAlign w:val="bottom"/>
            <w:gridSpan w:val="3"/>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return of property and equipment deposits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19,021</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 and intangible assets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the accompanying notes thereto contained in Part I, Item 1 “Financial Statements” and the other disclosures in this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Quarterly Report on Form 10-Q and with the disclosures in our Annual Report on Form 10-K for the year ended December 31, 2024, as amended and supplemented by Amendment No. 1 on Form 10-K/A filed with the SEC on April 30,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T1 Energy Inc., a Delaware corporation (“T1,” the “Company”, “we”, or “us”), is an energy solutions provider building an integrated U.S. supply chain for solar and batteries. We manufacture and sell photovoltaic (“PV”) solar modules in the United States for our U.S. customers.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three months ended March 31, 2025, represented our first full period of financial results following our transformative acquisition of Trina Solar (U.S.) Holding Inc., a Delaware corporation, and related subsidiaries (collectively “Trina Solar US Holding”), which closed on December 23, 2024 (“Trina Business Combination”). We recognized net sales of $64.6 million in the period related to net sales to Trina Solar (Schweiz) AG and its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“Trina Group”), a related party. Additionally, we ended the first quarter with cash, cash equivalents, and restricted cash of $51.1 million.</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Demand for our PV solar module offerings depends, in part, on market factors outside our control. For example, the United States has recently announced changes to its global trade policy, including significant tariffs on imports from China, Vietnam, Mexico, Canada, and other countries. These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and retaliatory tariffs imposed by other countries on U.S. goods and exports, have led to significant volatility and uncertainty in global markets.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New or increased tariffs and other barriers to trade, especially in light of recent comments and executive orders made by the United States, could further impact or exacerbate these conditions. Historically, tariffs have led to increased trade and political tensions. Political tensions as a result of trade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policies could reduce trade volume, investment, and other economic activities between major international economies, resulting in a material adverse effect on global economic conditions and on the stability of global financial markets. There is substantial uncertainty about the duration of existing tariffs, potential changes to existing tariffs, and whether additional tariffs may be imposed, modified, or suspended, and the impacts of such actions on our business. While the situation remains fluid, we are continuing to evaluate these developments.</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are operating in an uncertain macroeconomic environment with significant volatility that may impact consumer demand. To the extent the macroeconomic environment worsens, it may have a material effect on our results of operations and financial condition. Refer to Part I, Item 1A “Risk Factors” in our 2024 Annual Report on Form 10-K and Part II, Item 1A “Risk Factors” of this Quarterly Report on Form 10-Q for further discussion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above potential impacts on our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information on T1’s condensed consolidated results of operations (in thousands except percentages):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4"/>
                <w:szCs w:val="24"/>
                <w:color w:val="auto"/>
              </w:rPr>
            </w:pPr>
          </w:p>
        </w:tc>
        <w:tc>
          <w:tcPr>
            <w:tcW w:w="1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 vs 2024 Change</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3"/>
        </w:trPr>
        <w:tc>
          <w:tcPr>
            <w:tcW w:w="57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 related parties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28,976</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4"/>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dividends and accretion</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219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Net sales consists of sales of PV solar modules. We recognize sales for PV solar modules at a point in time following the transfer of control of the modules to the customer, which typically occurs upon shipment or delivery depending on the terms of the underlying contracts.</w:t>
      </w:r>
    </w:p>
    <w:p>
      <w:pPr>
        <w:spacing w:after="0" w:line="11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Net sales were $64.6 million for the three months ended March 31, 2025, compared to zero for the three months ended March 31, 2024. Net sales related to PV solar modules. We began selling PV solar modules after the Trina Business Combination was completed on December 23,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PV solar modules business cost of sales includes the cost of raw materials and components for manufacturing solar modules. In addition, our cost of sales includes direct labor for the manufacturing of solar modules and manufacturing overhead, such as engineering, equipment maintenance, quality and production control, and information technology. Our cost of sales also includes depreciation of manufacturing plant and equipment, facility-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expenses, environmental health and safety costs, and costs associated with shipping.</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Cost of sales were $35.7 million for the three months ended March 31, 2025, compared to zero for the three months ended March 31, 2024. Cost of sales related to PV solar modules. We began selling PV solar modules after the Trina Business Combination was completed on December 23,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3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consists of personnel and personnel-related expenses for our sales, marketing and administrative personnel, costs for administrative offices, insurance, and outside professional services including legal, accounting, and other advisory services.</w:t>
      </w:r>
    </w:p>
    <w:p>
      <w:pPr>
        <w:spacing w:after="0" w:line="11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Selling, general and administrative expenses increased by $37.6 million or 250%, to $52.6 million for the three months ended March 31, 2025, from $15.0 million for the three months ended March 31, 2024. This increase is primarily due to an increase in personnel costs and legal and professional fees following the Trina Business Combination.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Other income (expense) primarily consists of the fair value adjustments on our warrant liability, derivative liabilities, interest income and expense, net foreign currency transaction gains and losses.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Other income increased by $13.3 million or 359% to $17.0 million for the three months ended March 31, 2025, from $3.7 million for the three months ended March 31, 2024. The increase is primarily due to a $25.2 million derivative liability fair value adjustment for the three months ended March 31, 2025, compared to zero the three months ended March 31, 2024 partially offset by a $9.9 million interest expense, net for the three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compared to a $1.4 million interest income, net.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discontinued operations, net of tax</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concluded that the assets of our European businesses and our business in Coweta County, Georgia met the criteria for classification as held for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sale as of December 31, 2024. Additionally, we concluded that the ultimate disposal will represent a strategic shift that will have a major effect on our operations, resulting in the presentation of the historical financial results of these businesses as discontinued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loss from discontinued operations, net of tax decreased by $5.3 million or 30%, to $12.1 million for the three months ended March 31, 2025</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$17.4 million for the three months ended March 31, 2024. The decrease primarily relates to the reduced research and development activity for our European businesses and a $5.7 million gain from the sale of land in Coweta County offset by a change in other (loss) income, net to $(10.1) million for the three months ended March 31, 2025 compared to $2.4 million for the three months ended March 31, 2024, primarily relating to estimated penalties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expected disposal of our European businesses and a decrease in interest income due to a reduction in our cash balance in Europe.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As of March 31, 2025, we had approximately $51.1 million of cash, cash equivalents, and restricted cash. To date, our principal sources of liquidity have been proceeds received from our Alussa Business Combination, the issuance of equity securities, and amounts received from government grants. Historically, these funds have been used for our Trina Business Combination, constructing and equipping our manufacturing facilities, technology licensing, R&amp;D activities, and general corporate purposes.</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future liquidity requirements depend on many factors, including the timing and extent of the following: cash flows from operations, capital expenditures for construction of future facilities and purchase of related equipment, spending on other growth initiatives, including through joint ventures, and general economic conditions. In addition to those activities, our short term liquidity will be utilized to fund the current portion of non-cancellable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commitments, including leases and debt obligations. We believe that we have sufficient liquidity to meet our contractual obligations and commitments for at least the next 12 months.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long-term operating plan requires the repayment of non-cancellable commitments including leases and debt obligations. In addition,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planned investments in our business and manufacturing footprint, as currently devised, will require significant financing to complete. Such financing may not be available at terms acceptable to us, or at all. The credit market and financial services industry have in the past, and may in the future, experience periods of uncertainty that could impact the availability and cost of equity and debt financing. If we are unable to raise substantial additional capital,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ability to invest in further facilities or other development projects will be significantly delayed or curtailed which would have a material adverse impact on our business prospects and results of operations. If we raise funds by issuing debt securities, these debt securities would have rights, preferences, and privileges senior to those of holders of our common stock. The terms of debt securities or other borrowings could impose significant restrictions on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operations. If we raise funds by issuing equity securities, dilution to stockholders may result. Any equity securities issued may also provide for rights, preferences, or privileges senior to those of holders of our common stock.</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2024, the Company estimated that a 5 GW solar cell manufacturing facility in the United States would have a total cost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approximately $850.0 million. The estimated costs of construction remain subject to technology and product specification decisions, ongoing business, financing, and operational changes, and changes to the overall macroeconomic environment. We will continue to provide updates to reflect material developments, including approvals or commitments for spending that differ materially from our previous estimates.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planned capital expenditures are based on management’s current estimates and may be subject to change. There can be no assurance that we will execute our capital expenditure plans as currently estimated, without addition, reduction, or modification. We may also from time to time reduce or increase planned spending on specific capital projects and/or adjust the timing of planned capital expenditures due to factors both within and outside of our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control, including the availability of financing. As a result, actual capital expenditures in future years may differ materially from the amounts discussed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88"/>
        </w:trPr>
        <w:tc>
          <w:tcPr>
            <w:tcW w:w="6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6"/>
        </w:trPr>
        <w:tc>
          <w:tcPr>
            <w:tcW w:w="6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Pr>
          <w:p>
            <w:pPr>
              <w:spacing w:after="0"/>
              <w:rPr>
                <w:sz w:val="19"/>
                <w:szCs w:val="19"/>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6"/>
              </w:rPr>
              <w:t>NM</w:t>
            </w: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219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Net cash used in operating activities was $44.8 million for the three months ended March 31, 2025, compared to $16.2 million for the three months ended March 31, 2024. The increase in cash used in operating activities was primarily driven by an increase in cash used for working capital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associated with our solar business and a repayment of $20.0 million for a government grant with Coweta County, Georgia and a decrease in net loss, adjusted for non-cash items.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Net cash provided by (used in) investing activities was $22.1 million for the three months ended March 31, 2025, compared to $(2.4) million for the three months ended March 31, 2024. The change in cash used in investing activities was primarily driven by proceeds from the sale of property and equipment of $50.0 million for the three months ended March 31, 2025, relating to our land in Coweta County, Georgia offset by a decrease in the proceeds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from the return of property and equipment deposits of $1.2 million for the three months ended March 31, 2025, compared to $19.0 million for the three months ended March 31,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Net cash used in financing activities was $3.8 million for the three months ended March 31, 2025 and zero for the three months ended March 31, 2024. The change in cash used in financing activities was the result of the payment of debt fees in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critical accounting policies and estimates are consistent with those described in the Management’s Discussion and Analysis section of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2024 filed with the SEC on March 31, 2025. There have been no material changes to our critical accounting policies during the three months ended March 31,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disclose information under this Item.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of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U.S.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Exchange Commission’s rules and forms.</w:t>
      </w:r>
    </w:p>
    <w:p>
      <w:pPr>
        <w:spacing w:after="0" w:line="111"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of the Exchange Act, management recognizes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2025. Based upon their evaluation,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Chief Executive Officer and Chief Financial Officer concluded that our disclosure controls and procedures, as defined in Rules 13a-15(e) and 15d-15(e) of the Exchange Act, were effective.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December 23, 2024, we completed the Trina Business Combination. We are currently integrating policies, processes, people, technology and operations for the combined company. Management will continue to evaluate our internal control over financial reporting as we execute integration activities. During the three months ended March 31, 2025, except as noted above, there were no changes in our internal control over financial reporting, as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defined in Rules 13a-15(f) and 15d-15(f) of the Exchange Act, that occurred during the three months ended March 31, 2025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in the ordinary course of our business. To the knowledge of our management, there are no material litigation, claims, or actions currently pending or threatened against us, any of our officers, or directors in their capacity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or against any of our property.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Item 1A. “Risk Factors” of our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2024 filed with the SEC on March 31, 2025 (as amended and supplemented by Amendment No. 1 on Form 10-K/A filed with the SEC on April 30, 2025), which could materially affect our business, financial condition, results of operations, and cash flows. The risks described in our Annual Report on Form 10-K are not the only risks we face. Additional risks and uncertainties not currently known to us or that we currently consider immaterial may also materially adversely affect our business, financial condition, results of operations, and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risk factor set forth below, there have been no material changes in the risk factors contained in our Annual Report on Form 10-K.</w:t>
      </w:r>
    </w:p>
    <w:p>
      <w:pPr>
        <w:spacing w:after="0" w:line="1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The modification, reduction, elimination, or expiration of government subsidies, economic incentives, tax incentives, renewable energy targets, and other support for solar electricity applications, or the impact of other public policies, such as tariffs or other trade remedies imposed on solar cells and</w:t>
      </w: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modules or related raw materials or equipment, could negatively impact demand and/or price levels for our solar modules and limit our growth or lead to a reduction in our net sales or increase our costs, thereby adversely impacting our operating results.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sales and profits are subject to variability based on the availability and size of government subsidies and economic incentives. Federal,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 and local governmental bodies in many countries have provided subsidies in the form of feed-in-tariff structures, rebates, tax incentives, and other incentives to end users, distributors, system integrators, and manufacturers of PV solar products. Many of these incentive programs expire, phase down over time, require renewal by the applicable authority, or may be amended. To the extent government incentive programs are reduced earlier than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previously expected, are changed retroactively, or are not renewed, such changes could negatively impact demand and/or price levels for our solar modules, lead to a reduction in our net sales, and adversely impact our operating results.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regulatory policies, or any future changes or threatened changes to such policies, including those changes as a result of the current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and control of the U.S. Congress, may subject us to significant risks, including the following:</w:t>
      </w:r>
    </w:p>
    <w:p>
      <w:pPr>
        <w:spacing w:after="0" w:line="111" w:lineRule="exact"/>
        <w:rPr>
          <w:sz w:val="20"/>
          <w:szCs w:val="20"/>
          <w:color w:val="auto"/>
        </w:rPr>
      </w:pPr>
    </w:p>
    <w:p>
      <w:pPr>
        <w:jc w:val="both"/>
        <w:ind w:left="660" w:hanging="328"/>
        <w:spacing w:after="0" w:line="23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or removal of renewable energy programs and initiatives and the incentives they provide may negatively impact the market for future solar energy off-take agreements and reduce the ability for solar project developers to compete for off-take agreements, which may reduce PV solar module sales;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value or availability to manufacturers or potential investors of tax incentives that benefit solar energy production, sales, or projects, such as the Section 45X advanced manufacturing production credit, ITC, and PTC, could result in reducing such manufacturers’ or investors’ economic returns and could cause a reduction in the availability of financing, thereby reducing demand for PV solar modules; and</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effort to overturn federal and state laws, regulations, or policies that are supportive of solar energy generation or that remove costs or other limitations on other types of electricity generation that compete with solar energy projects could negatively impact our ability to compete with traditional forms of electricity generation and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Application of trade laws may also adversely impact, either directly or indirectly, our operating results; for example, by impacting our customers’ project costs, profitability, and their demand for our modules; or by impacting our own costs or disrupting our manufacturing or supply chains, and consequently negatively impacting demand and/or price levels for our solar modules, reducing our net sales, or affecting potential profitability of fulfilling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contracts. We are therefore potentially subject to various risks, which include the following:</w:t>
      </w:r>
    </w:p>
    <w:p>
      <w:pPr>
        <w:spacing w:after="0" w:line="111" w:lineRule="exact"/>
        <w:rPr>
          <w:sz w:val="20"/>
          <w:szCs w:val="20"/>
          <w:color w:val="auto"/>
        </w:rPr>
      </w:pPr>
    </w:p>
    <w:p>
      <w:pPr>
        <w:jc w:val="both"/>
        <w:ind w:left="660" w:hanging="328"/>
        <w:spacing w:after="0" w:line="23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tariffs that reduce the profitability of contracts, whereby the cost of tariffs exceeds the amount able to be, or willing to be, absorbed by either us or the customer under the provisions of the contract and may lead to the cancellation of such contract, potentially resulting in the reduction of future revenue and/or the required return of a previously received customer down payment; and</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reciprocal or other tariffs may place burdens on our customers’ supply chains exclusive of module import costs, including through increased costs of trackers, inverters, transformers, and other imported equipment, which are often heavily dependent on Chinese supply chains, due to the lack of availability from other countries. These and other costs could result in an inability for certain projects to generate profitable returns, and may lead to the delay or abandonment of such projects, thereby reducing or removing demand for currently contracted PV module sales.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some instances, the application of trade laws is currently beneficial to us, and changes in their application could have an adverse impact.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overall impact of trade laws on our business depends on multiple factors, including their duration, their scope and potential expansion thereof, enforcement, retaliatory measures by impacted exporting countries, inflationary effects and broader macroeconomic responses, changes to consumer purchasing behavior, and the effectiveness of our responses in managing these impacts. Recent developments include the following:</w:t>
      </w:r>
    </w:p>
    <w:p>
      <w:pPr>
        <w:spacing w:after="0" w:line="116" w:lineRule="exact"/>
        <w:rPr>
          <w:sz w:val="20"/>
          <w:szCs w:val="20"/>
          <w:color w:val="auto"/>
        </w:rPr>
      </w:pPr>
    </w:p>
    <w:p>
      <w:pPr>
        <w:jc w:val="both"/>
        <w:ind w:left="66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Reciprocal Tariffs</w:t>
      </w:r>
      <w:r>
        <w:rPr>
          <w:rFonts w:ascii="Times New Roman" w:cs="Times New Roman" w:eastAsia="Times New Roman" w:hAnsi="Times New Roman"/>
          <w:sz w:val="18"/>
          <w:szCs w:val="18"/>
          <w:color w:val="auto"/>
        </w:rPr>
        <w:t>. On April 2, 2025, the U.S. administration announced 10% “baseline” tariffs on all imports from all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higher “reciprocal” tariffs on imports from nearly 60 countries, invoking his authority under the International Emergency Economic Powers Act (“IEEPA”). The 10% baseline tariffs entered into effect on April 5, 2025. However, on April 9, 2025, the U.S. administration announced a 90-day pause on the implementation of the additional, higher reciprocal tariffs, except for those applicable to China. As of May 5, 2025, the U.S. reciprocal tariff rate on imports from China was 125%, however the effective rate—when combined with the 20% fentanyl-related IEEPA tariffs of March 4, 2025—was 145%. If the higher reciprocal tariffs go into effect after the 90-day pause, after July 9, 2025, it could increase the costs to produce our solar modules, which would reduce our profitability. In particular, there is substantial uncertainty about the duration of existing policies surrounding tariffs on Chinese imports, potential changes to existing tariff countermeasures taken by China against the U.S., and whether additional tariffs may be imposed, modified, or suspended, and the impacts of such actions on our business. While the situation remains fluid, we are continuing to evaluate these developments.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Section 201 Tariffs on Certain Imported Crystalline Silicon PV Cells and Modules</w:t>
      </w:r>
      <w:r>
        <w:rPr>
          <w:rFonts w:ascii="Times New Roman" w:cs="Times New Roman" w:eastAsia="Times New Roman" w:hAnsi="Times New Roman"/>
          <w:sz w:val="18"/>
          <w:szCs w:val="18"/>
          <w:color w:val="auto"/>
        </w:rPr>
        <w:t>. The United States currently imposes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tariffs and/or other trade remedies on certain imported crystalline silicon PV cells and modules from various countries. In February 2022, President Biden proclaimed a four-year extension of a global safeguard measure imposed pursuant to Section 201 of the Trade Act of 1974. The extension measure’s tariff rate was originally set at 14.75%, with annual reductions of 0.25 percentage points over the remainder of its four-year term, which expires in February 2026. The current rate is 14.00%. The extension measure also provides an annual tariff-rate quota, whereby tariffs apply only to imported crystalline silicon solar cells above the first 12.5 GW of imports, which was exceeded by approximately 1.4 GW in 2024, according to data from the U.S. International Trade Commission (“USITC”).</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2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Section 301 Tariffs on Certain Chinese Imports</w:t>
      </w:r>
      <w:r>
        <w:rPr>
          <w:rFonts w:ascii="Times New Roman" w:cs="Times New Roman" w:eastAsia="Times New Roman" w:hAnsi="Times New Roman"/>
          <w:sz w:val="18"/>
          <w:szCs w:val="18"/>
          <w:color w:val="auto"/>
        </w:rPr>
        <w:t>. The United States currently imposes tariffs ranging from 7.5% to 200% on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imported from China, pursuant to Section 301 of the Trade Act of 1974. Currently, crystalline silicon solar cells are subject to 50% tariffs, and modules are subject to 25% tariffs. There are certain product exclusions for these tariffs and the Office of the U.S. Trade Representative (“USTR”) is accepting product exclusion requests, however, these exclusions will expire on May 31, 2025.</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IEEPA Tariffs in response to the Fentanyl and Immigration crises</w:t>
      </w:r>
      <w:r>
        <w:rPr>
          <w:rFonts w:ascii="Times New Roman" w:cs="Times New Roman" w:eastAsia="Times New Roman" w:hAnsi="Times New Roman"/>
          <w:sz w:val="18"/>
          <w:szCs w:val="18"/>
          <w:color w:val="auto"/>
        </w:rPr>
        <w:t>. In February 2025, the U.S. administration announced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on imports from Canada and Mexico, with the exception of products originating under the United States-Mexico-Canada Agreement (“USMCA”), and 10% tariffs on all imports from China. These tariffs are related to the national security threat posed by trade in fentanyl and other illegal narcotics, as well as illegal immigration. The 10% tariffs on China were subsequently doubled to 20% in March 2025. These tariffs apply in addition to any tariffs imposed under Section 301, ordinary customs duties, antidumping duties or countervailing duties (“AD/CVDs”), and reciprocal tariffs imposed on Chinese imports. Our operating results could be adversely impacted if these tariffs were to be terminated or reduced.</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1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Port Fees on Certain Chinese Vessel Operators and Chinese Vessel Owners</w:t>
      </w:r>
      <w:r>
        <w:rPr>
          <w:rFonts w:ascii="Times New Roman" w:cs="Times New Roman" w:eastAsia="Times New Roman" w:hAnsi="Times New Roman"/>
          <w:sz w:val="18"/>
          <w:szCs w:val="18"/>
          <w:color w:val="auto"/>
        </w:rPr>
        <w:t>. On April 17, 2025, USTR published a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in its investigation under Section 301 of the Trade Act of 1974 into China’s targeting of the maritime, logistics, and shipbuilding sectors for dominance. The action imposes new port fees on Chinese vessel operators and/or Chinese vessel owners as well as on non-Chinese operators of Chinese-origin vessels beginning on October 14, 2025. The level of fees is on a sliding scale per net ton or, in the case of non-Chinese operators, the higher of a net ton fee or container-based fee. Such fees may impact our logistics services and consequently impact our profitability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jc w:val="both"/>
        <w:ind w:left="660" w:hanging="328"/>
        <w:spacing w:after="0" w:line="22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Tariffs on Certain Foreign-imported Aluminum and Steel</w:t>
      </w:r>
      <w:r>
        <w:rPr>
          <w:rFonts w:ascii="Times New Roman" w:cs="Times New Roman" w:eastAsia="Times New Roman" w:hAnsi="Times New Roman"/>
          <w:sz w:val="18"/>
          <w:szCs w:val="18"/>
          <w:color w:val="auto"/>
        </w:rPr>
        <w:t>. The United States currently imposes tariffs of 25% on imported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and steel articles and derivative products under Section 232 of the Trade Expansion Act of 1962, administered by the U.S. Department of Commerce (“USDOC”). There are certain exemptions to these tariffs including for items that are USMCA-originating. Such tariffs and policies, or any other U.S. or global trade remedies or other trade barriers, may directly or indirectly affect U.S. or global markets for solar energy and our business, financial condition, and results of operations.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Potential Tariffs on Processed Critical Minerals and Derivative Products</w:t>
      </w:r>
      <w:r>
        <w:rPr>
          <w:rFonts w:ascii="Times New Roman" w:cs="Times New Roman" w:eastAsia="Times New Roman" w:hAnsi="Times New Roman"/>
          <w:sz w:val="18"/>
          <w:szCs w:val="18"/>
          <w:color w:val="auto"/>
        </w:rPr>
        <w:t>. On April 22, 2025, the U.S. Secretary of 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initiated an investigation to determine the effects on the national security of imports of certain critical minerals, as well as their derivative products, under Section 232 of the Trade Expansion Act of 1962. The scope of the investigation includes tellurium and other critical minerals used in solar module manufacturing. In addition, the definition of derivative products covered by the investigation is potentially broad. If this investigation results in the imposition of tariffs or import restrictions on critical minerals and/or derivative products, it could negatively impact demand and/or price levels for our solar modules and limit our growth, lead to a reduction in our net sales, or increase our costs, thereby adversely impacting our operating results.</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1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AD/CVDs on Certain Imported Crystalline Silicon PV Cells and Modules</w:t>
      </w:r>
      <w:r>
        <w:rPr>
          <w:rFonts w:ascii="Times New Roman" w:cs="Times New Roman" w:eastAsia="Times New Roman" w:hAnsi="Times New Roman"/>
          <w:sz w:val="18"/>
          <w:szCs w:val="18"/>
          <w:color w:val="auto"/>
        </w:rPr>
        <w:t>. The United States currently imposes AD/CVDs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imported crystalline silicon PV cells and modules from China and Taiwan. Such AD/CVDs can change over time pursuant to annual administrative reviews conducted by the USDOC, and a decline in duty rates or USDOC failure to fully enforce U.S. AD/CVD laws could have an adverse impact on our operating results. In August 2023, the USDOC issued final affirmative circumvention rulings, finding that solar modules completed in Cambodia, Malaysia, Thailand, and Vietnam using parts and components produced in China circumvent the pre-existing AD/CVD orders on China. Such duties apply to circumventing imports on or after June 6, 2024, as well as any circumventing imports prior to that date that were not used or installed on or before December 3, 2024. Our operating results could be adversely impacted if the USDOC and other U.S. government agencies do not enforce the affirmative circumvention rulings as expected . Conversely, effective enforcement could positively impact our operating results.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1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AD/CVDs on Solar Cells and Modules</w:t>
      </w:r>
      <w:r>
        <w:rPr>
          <w:rFonts w:ascii="Times New Roman" w:cs="Times New Roman" w:eastAsia="Times New Roman" w:hAnsi="Times New Roman"/>
          <w:sz w:val="18"/>
          <w:szCs w:val="18"/>
          <w:color w:val="auto"/>
        </w:rPr>
        <w:t>. In April 2024, the American Alliance for Solar Manufacturing Trade Committee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AD/CVD petitions with the USDOC and the USITC to impose duties on solar cells and modules from Cambodia, Malaysia, Thailand, and Vietnam. The investigations have resulted in the imposition of final AD/CVD duties. On April 21, 2025, the USDOC announced final affirmative determinations in the AD and CVD investigations, finding that cells and modules from Cambodia, Malaysia, Thailand, and Vietnam are being dumped and unfairly subsidized at rates ranging from de minimis to over 3,400%, depending on the particular foreign producer (and, in some circumstances, retroactive duties on entries dating back as far as June 2024). Should the USITC make a final affirmative determination on June 2, 2025, the USDOC will issue final AD/CVD orders shortly thereafter.</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As exemplified above, established markets for PV solar development face uncertainties arising from policy, regulatory, and governmental actions. Policy promulgation and market development are especially vulnerable to governmental inertia, political instability, changing government policy and priorities, the imposition or lowering of trade remedies and other trade barriers, geopolitical risk, fossil fuel subsidization, potentially stringent localization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requirements, and limited available infrastructure. Any negative impacts from changes in policy, regulatory and governmental actions could negatively affect our business, reduce our net sales, profitability and/or market share, and consequently adversely affect our results of operations, prospects, and financial condition.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three months ended March 31, 2025,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documents listed below are incorporated by reference or are filed with this Quarterly Report on Form 10-Q, in each case as indicated therein (numbered in accordance with Item 601 of Regulation S-K).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2"/>
                <w:szCs w:val="22"/>
                <w:color w:val="auto"/>
              </w:rPr>
            </w:pPr>
          </w:p>
        </w:tc>
        <w:tc>
          <w:tcPr>
            <w:tcW w:w="103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9"/>
        </w:trPr>
        <w:tc>
          <w:tcPr>
            <w:tcW w:w="340" w:type="dxa"/>
            <w:vAlign w:val="bottom"/>
            <w:tcBorders>
              <w:top w:val="single" w:sz="8" w:color="auto"/>
            </w:tcBorders>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380" w:type="dxa"/>
            <w:vAlign w:val="bottom"/>
            <w:tcBorders>
              <w:top w:val="single" w:sz="8" w:color="auto"/>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Amended and Restated Certificate of Incorporation of T1 Energy Inc., a Delaware corporation (incorporated by reference to Exhibit 3.1 to the</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Current Report on Form 8-K filed with the SEC on February 19, 2025).</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80" w:type="dxa"/>
            <w:vAlign w:val="bottom"/>
            <w:gridSpan w:val="22"/>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Bylaws of T1 Energy Inc., a Delaware corporation (incorporated by reference to Exhibit 3.2 to the Current Report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Form 8-K filed with the SEC on February 19, 2025).</w:t>
              </w:r>
            </w:hyperlink>
          </w:p>
        </w:tc>
        <w:tc>
          <w:tcPr>
            <w:tcW w:w="40" w:type="dxa"/>
            <w:vAlign w:val="bottom"/>
            <w:gridSpan w:val="2"/>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4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Amendment No. 2 to Credit Agreement (incorporated by reference to Exhibit 10.1 to the Current Report on Form 8-K filed with the SEC on</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February 14, 2025).</w:t>
              </w:r>
            </w:hyperlink>
          </w:p>
        </w:tc>
        <w:tc>
          <w:tcPr>
            <w:tcW w:w="10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gridSpan w:val="2"/>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5120" w:type="dxa"/>
            <w:vAlign w:val="bottom"/>
            <w:tcBorders>
              <w:top w:val="single" w:sz="8" w:color="0000FF"/>
            </w:tcBorders>
            <w:gridSpan w:val="2"/>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9"/>
        </w:trPr>
        <w:tc>
          <w:tcPr>
            <w:tcW w:w="8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80" w:type="dxa"/>
            <w:vAlign w:val="bottom"/>
            <w:gridSpan w:val="22"/>
          </w:tcPr>
          <w:p>
            <w:pPr>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Amendment No. 3 to Credit Agreement (incorporated by reference to Exhibit 10.1 to the Current Report on Form 8-K filed with the SEC on</w:t>
              </w:r>
            </w:hyperlink>
          </w:p>
        </w:tc>
      </w:tr>
      <w:tr>
        <w:trPr>
          <w:trHeight w:val="136"/>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80" w:type="dxa"/>
            <w:vAlign w:val="bottom"/>
            <w:tcBorders>
              <w:top w:val="single" w:sz="8" w:color="0000FF"/>
            </w:tcBorders>
            <w:gridSpan w:val="6"/>
          </w:tcPr>
          <w:p>
            <w:pPr>
              <w:spacing w:after="0" w:line="136" w:lineRule="exact"/>
              <w:rPr>
                <w:rFonts w:ascii="Times New Roman" w:cs="Times New Roman" w:eastAsia="Times New Roman" w:hAnsi="Times New Roman"/>
                <w:sz w:val="15"/>
                <w:szCs w:val="15"/>
                <w:color w:val="0000FF"/>
              </w:rPr>
            </w:pPr>
            <w:hyperlink r:id="rId46">
              <w:r>
                <w:rPr>
                  <w:rFonts w:ascii="Times New Roman" w:cs="Times New Roman" w:eastAsia="Times New Roman" w:hAnsi="Times New Roman"/>
                  <w:sz w:val="15"/>
                  <w:szCs w:val="15"/>
                  <w:color w:val="0000FF"/>
                </w:rPr>
                <w:t>March 4, 2025).</w:t>
              </w:r>
            </w:hyperlink>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9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84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38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Amendment No. 4 to Credit Agreement (incorporated by reference to Exhibit 10.1 to the Current Report on Form 8-K filed with the SEC on</w:t>
              </w:r>
            </w:hyperlink>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0000FF"/>
            </w:tcBorders>
            <w:gridSpan w:val="4"/>
            <w:shd w:val="clear" w:color="auto" w:fill="CCEEFF"/>
          </w:tcPr>
          <w:p>
            <w:pPr>
              <w:spacing w:after="0" w:line="136" w:lineRule="exact"/>
              <w:rPr>
                <w:rFonts w:ascii="Times New Roman" w:cs="Times New Roman" w:eastAsia="Times New Roman" w:hAnsi="Times New Roman"/>
                <w:sz w:val="15"/>
                <w:szCs w:val="15"/>
                <w:color w:val="0000FF"/>
              </w:rPr>
            </w:pPr>
            <w:hyperlink r:id="rId47">
              <w:r>
                <w:rPr>
                  <w:rFonts w:ascii="Times New Roman" w:cs="Times New Roman" w:eastAsia="Times New Roman" w:hAnsi="Times New Roman"/>
                  <w:sz w:val="15"/>
                  <w:szCs w:val="15"/>
                  <w:color w:val="0000FF"/>
                </w:rPr>
                <w:t>March 14, 2025).</w:t>
              </w:r>
            </w:hyperlink>
          </w:p>
        </w:tc>
        <w:tc>
          <w:tcPr>
            <w:tcW w:w="1580" w:type="dxa"/>
            <w:vAlign w:val="bottom"/>
            <w:tcBorders>
              <w:top w:val="single" w:sz="8" w:color="0000FF"/>
            </w:tcBorders>
            <w:gridSpan w:val="3"/>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300" w:type="dxa"/>
            <w:vAlign w:val="bottom"/>
            <w:tcBorders>
              <w:top w:val="single" w:sz="8" w:color="0000FF"/>
            </w:tcBorders>
            <w:gridSpan w:val="2"/>
            <w:shd w:val="clear" w:color="auto" w:fill="CCEEFF"/>
          </w:tcPr>
          <w:p>
            <w:pPr>
              <w:spacing w:after="0"/>
              <w:rPr>
                <w:sz w:val="11"/>
                <w:szCs w:val="11"/>
                <w:color w:val="auto"/>
              </w:rPr>
            </w:pPr>
          </w:p>
        </w:tc>
        <w:tc>
          <w:tcPr>
            <w:tcW w:w="660" w:type="dxa"/>
            <w:vAlign w:val="bottom"/>
            <w:tcBorders>
              <w:top w:val="single" w:sz="8" w:color="0000FF"/>
            </w:tcBorders>
            <w:shd w:val="clear" w:color="auto" w:fill="CCEEFF"/>
          </w:tcPr>
          <w:p>
            <w:pPr>
              <w:spacing w:after="0"/>
              <w:rPr>
                <w:sz w:val="11"/>
                <w:szCs w:val="11"/>
                <w:color w:val="auto"/>
              </w:rPr>
            </w:pPr>
          </w:p>
        </w:tc>
        <w:tc>
          <w:tcPr>
            <w:tcW w:w="5260" w:type="dxa"/>
            <w:vAlign w:val="bottom"/>
            <w:tcBorders>
              <w:top w:val="single" w:sz="8" w:color="0000FF"/>
            </w:tcBorders>
            <w:gridSpan w:val="3"/>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189"/>
        </w:trPr>
        <w:tc>
          <w:tcPr>
            <w:tcW w:w="8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00"/>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Stock Unit Agreement</w:t>
            </w: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84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60" w:type="dxa"/>
            <w:vAlign w:val="bottom"/>
            <w:tcBorders>
              <w:top w:val="single" w:sz="8" w:color="0000FF"/>
              <w:bottom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28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8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 Adopted</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80" w:type="dxa"/>
            <w:vAlign w:val="bottom"/>
            <w:gridSpan w:val="4"/>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20" w:type="dxa"/>
            <w:vAlign w:val="bottom"/>
            <w:shd w:val="clear" w:color="auto" w:fill="CCEEFF"/>
          </w:tcPr>
          <w:p>
            <w:pPr>
              <w:spacing w:after="0"/>
              <w:rPr>
                <w:sz w:val="16"/>
                <w:szCs w:val="16"/>
                <w:color w:val="auto"/>
              </w:rPr>
            </w:pPr>
          </w:p>
        </w:tc>
        <w:tc>
          <w:tcPr>
            <w:tcW w:w="10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20" w:type="dxa"/>
            <w:vAlign w:val="bottom"/>
          </w:tcPr>
          <w:p>
            <w:pPr>
              <w:spacing w:after="0"/>
              <w:rPr>
                <w:sz w:val="16"/>
                <w:szCs w:val="16"/>
                <w:color w:val="auto"/>
              </w:rPr>
            </w:pPr>
          </w:p>
        </w:tc>
        <w:tc>
          <w:tcPr>
            <w:tcW w:w="10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5"/>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period ended March 31, 2025 is formatted in Inline XBRL interactive data files: (i) Condensed Consolidated Balance Sheets as of March 31,</w:t>
            </w:r>
          </w:p>
        </w:tc>
      </w:tr>
      <w:tr>
        <w:trPr>
          <w:trHeight w:val="18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380" w:type="dxa"/>
            <w:vAlign w:val="bottom"/>
            <w:gridSpan w:val="2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2025 and December 31, 2024; (ii) Condensed Consolidated Statements of Operations and Comprehensive Income (Loss) for the three months</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80" w:type="dxa"/>
            <w:vAlign w:val="bottom"/>
            <w:gridSpan w:val="2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ended March 31, 2025 and 2024; (iii) Condensed Consolidated Statements of Stockholders’ Equity for the three months ended March 31,</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2025 and 2024; (iv) Condensed Consolidated Statements of Cash Flows for the three months ended March 31, 2025 and 2024; and (v) Notes</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3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Condensed Consolidated Financial Statements.</w:t>
            </w:r>
          </w:p>
        </w:tc>
      </w:tr>
      <w:tr>
        <w:trPr>
          <w:trHeight w:val="234"/>
        </w:trPr>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211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Management contract and compensatory plan and arrangement.</w:t>
      </w:r>
    </w:p>
    <w:p>
      <w:pPr>
        <w:spacing w:after="0" w:line="185" w:lineRule="exact"/>
        <w:rPr>
          <w:sz w:val="20"/>
          <w:szCs w:val="20"/>
          <w:color w:val="auto"/>
        </w:rPr>
      </w:pPr>
    </w:p>
    <w:p>
      <w:pPr>
        <w:jc w:val="both"/>
        <w:ind w:left="300" w:right="20" w:hanging="195"/>
        <w:spacing w:after="0" w:line="224"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U.S.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T1 Energy Inc.</w:t>
            </w:r>
          </w:p>
        </w:tc>
        <w:tc>
          <w:tcPr>
            <w:tcW w:w="0" w:type="dxa"/>
            <w:vAlign w:val="bottom"/>
          </w:tcPr>
          <w:p>
            <w:pPr>
              <w:spacing w:after="0"/>
              <w:rPr>
                <w:sz w:val="1"/>
                <w:szCs w:val="1"/>
                <w:color w:val="auto"/>
              </w:rPr>
            </w:pPr>
          </w:p>
        </w:tc>
      </w:tr>
      <w:tr>
        <w:trPr>
          <w:trHeight w:val="52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Joseph Evan Calio</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Joseph Evan Calio</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392"/>
        </w:trPr>
        <w:tc>
          <w:tcPr>
            <w:tcW w:w="6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648"/>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Denise Cruz</w:t>
            </w: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Denise Cruz</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049" w:right="339" w:bottom="1440" w:gutter="0" w:footer="0" w:header="0"/>
        </w:sectPr>
      </w:pPr>
    </w:p>
    <w:bookmarkStart w:id="26" w:name="page27"/>
    <w:bookmarkEnd w:id="26"/>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T1 ENERGY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Terms &amp; Conditions</w:t>
      </w:r>
    </w:p>
    <w:p>
      <w:pPr>
        <w:spacing w:after="0" w:line="231" w:lineRule="exact"/>
        <w:rPr>
          <w:sz w:val="20"/>
          <w:szCs w:val="20"/>
          <w:color w:val="auto"/>
        </w:rPr>
      </w:pPr>
    </w:p>
    <w:p>
      <w:pPr>
        <w:jc w:val="both"/>
        <w:ind w:firstLine="656"/>
        <w:spacing w:after="0" w:line="252" w:lineRule="auto"/>
        <w:tabs>
          <w:tab w:leader="none" w:pos="110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has granted to the individual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named in the award details (the “</w:t>
      </w:r>
      <w:r>
        <w:rPr>
          <w:rFonts w:ascii="Times New Roman" w:cs="Times New Roman" w:eastAsia="Times New Roman" w:hAnsi="Times New Roman"/>
          <w:sz w:val="22"/>
          <w:szCs w:val="22"/>
          <w:b w:val="1"/>
          <w:bCs w:val="1"/>
          <w:i w:val="1"/>
          <w:i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Grant</w:t>
      </w:r>
      <w:r>
        <w:rPr>
          <w:rFonts w:ascii="Times New Roman" w:cs="Times New Roman" w:eastAsia="Times New Roman" w:hAnsi="Times New Roman"/>
          <w:sz w:val="22"/>
          <w:szCs w:val="22"/>
          <w:color w:val="auto"/>
        </w:rPr>
        <w:t>”) an Award of Restricted Stock Units under the Amended and Restated T1 Energy Inc. (formerly known as FREYR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Battery Inc.) 2021 Equity Incentive Plan (as may be further amended or restated,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subject to all of the terms and conditions in the Notice of Grant, this Restricted Stock Unit Agreement (the “</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and the Plan, which is incorporated herein by reference. Subject to Section 18 of the Plan, if there is a conflict between the terms and conditions of the Plan and the terms and conditions of this Award Agreement, the terms and conditions of the Plan will prevail.</w:t>
      </w:r>
    </w:p>
    <w:p>
      <w:pPr>
        <w:spacing w:after="0" w:line="180" w:lineRule="exact"/>
        <w:rPr>
          <w:rFonts w:ascii="Times New Roman" w:cs="Times New Roman" w:eastAsia="Times New Roman" w:hAnsi="Times New Roman"/>
          <w:sz w:val="22"/>
          <w:szCs w:val="22"/>
          <w:color w:val="auto"/>
        </w:rPr>
      </w:pPr>
    </w:p>
    <w:p>
      <w:pPr>
        <w:jc w:val="both"/>
        <w:ind w:firstLine="656"/>
        <w:spacing w:after="0" w:line="248" w:lineRule="auto"/>
        <w:tabs>
          <w:tab w:leader="none" w:pos="105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such vested Restricted Stock Units will be settled by delivery of whole Shares as soon as practicable after vesting, but in each such case within the period ending no later than the date that is two and one-half (2½)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spacing w:after="0" w:line="188" w:lineRule="exact"/>
        <w:rPr>
          <w:rFonts w:ascii="Times New Roman" w:cs="Times New Roman" w:eastAsia="Times New Roman" w:hAnsi="Times New Roman"/>
          <w:sz w:val="22"/>
          <w:szCs w:val="22"/>
          <w:color w:val="auto"/>
        </w:rPr>
      </w:pPr>
    </w:p>
    <w:p>
      <w:pPr>
        <w:jc w:val="both"/>
        <w:ind w:firstLine="656"/>
        <w:spacing w:after="0" w:line="248" w:lineRule="auto"/>
        <w:tabs>
          <w:tab w:leader="none" w:pos="110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(except as set forth in any other individual agreement with Participant).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185"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Notwithstanding anything in the Plan or this Award Agreement to the contrary, if the vesting of the balance, or some lesser portion of the balance, of the Restricted Stock Units is accelerated in connection with Participant’s termination as a Service</w:t>
      </w:r>
    </w:p>
    <w:p>
      <w:pPr>
        <w:sectPr>
          <w:pgSz w:w="11900" w:h="16838" w:orient="portrait"/>
          <w:cols w:equalWidth="0" w:num="1">
            <w:col w:w="11240"/>
          </w:cols>
          <w:pgMar w:left="320" w:top="117" w:right="33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21"/>
          <w:szCs w:val="21"/>
          <w:color w:val="auto"/>
        </w:rPr>
        <w:t>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 (y) the payment of such accelerated Restricted Stock Units will result in the imposition of additional tax under Code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settled in Shares to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The Company makes no representation that any or all of the payments and benefits under this Award Agreement comply with Code Section 409A and makes no undertaking to preclude Code Section 409A from applying to any such payments or benefits. Participant shall be solely responsible for the payment of any taxes and penalties incurred under Code Section 409A. For purposes of this Award Agreement, “Code Section 409A” means Section 409A of the Code, and any final U.S. Treasury Regulations and U.S. Internal Revenue Service guidance thereunder, as each may be amended from time to time.</w:t>
      </w:r>
    </w:p>
    <w:p>
      <w:pPr>
        <w:spacing w:after="0" w:line="187" w:lineRule="exact"/>
        <w:rPr>
          <w:sz w:val="20"/>
          <w:szCs w:val="20"/>
          <w:color w:val="auto"/>
        </w:rPr>
      </w:pPr>
    </w:p>
    <w:p>
      <w:pPr>
        <w:jc w:val="both"/>
        <w:ind w:firstLine="656"/>
        <w:spacing w:after="0" w:line="263" w:lineRule="auto"/>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of Status as a Service Provider</w:t>
      </w:r>
      <w:r>
        <w:rPr>
          <w:rFonts w:ascii="Times New Roman" w:cs="Times New Roman" w:eastAsia="Times New Roman" w:hAnsi="Times New Roman"/>
          <w:sz w:val="22"/>
          <w:szCs w:val="22"/>
          <w:color w:val="auto"/>
        </w:rPr>
        <w:t>. Notwithstanding any contrary provision of this Award Agreement, any Restricted Stock Units that have not vested will be forfeited and will return to the Plan on the date following the termination of Participant’s status as a Service Provider.</w:t>
      </w:r>
    </w:p>
    <w:p>
      <w:pPr>
        <w:spacing w:after="0" w:line="167" w:lineRule="exact"/>
        <w:rPr>
          <w:rFonts w:ascii="Times New Roman" w:cs="Times New Roman" w:eastAsia="Times New Roman" w:hAnsi="Times New Roman"/>
          <w:sz w:val="22"/>
          <w:szCs w:val="22"/>
          <w:color w:val="auto"/>
        </w:rPr>
      </w:pPr>
    </w:p>
    <w:p>
      <w:pPr>
        <w:jc w:val="both"/>
        <w:ind w:firstLine="656"/>
        <w:spacing w:after="0" w:line="268" w:lineRule="auto"/>
        <w:tabs>
          <w:tab w:leader="none" w:pos="11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157" w:lineRule="exact"/>
        <w:rPr>
          <w:rFonts w:ascii="Times New Roman" w:cs="Times New Roman" w:eastAsia="Times New Roman" w:hAnsi="Times New Roman"/>
          <w:sz w:val="21"/>
          <w:szCs w:val="21"/>
          <w:color w:val="auto"/>
        </w:rPr>
      </w:pPr>
    </w:p>
    <w:p>
      <w:pPr>
        <w:jc w:val="both"/>
        <w:ind w:firstLine="656"/>
        <w:spacing w:after="0" w:line="252" w:lineRule="auto"/>
        <w:tabs>
          <w:tab w:leader="none" w:pos="105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Regardless of any action the Company or Participant’s employer (the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 w:cs="Times New Roman" w:eastAsia="Times New Roman" w:hAnsi="Times New Roman"/>
          <w:sz w:val="22"/>
          <w:szCs w:val="22"/>
          <w:b w:val="1"/>
          <w:bCs w:val="1"/>
          <w:i w:val="1"/>
          <w:iCs w:val="1"/>
          <w:color w:val="auto"/>
        </w:rPr>
        <w:t>Tax-Related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Items</w:t>
      </w:r>
      <w:r>
        <w:rPr>
          <w:rFonts w:ascii="Times New Roman" w:cs="Times New Roman" w:eastAsia="Times New Roman" w:hAnsi="Times New Roman"/>
          <w:sz w:val="22"/>
          <w:szCs w:val="22"/>
          <w:color w:val="auto"/>
        </w:rPr>
        <w:t>”), Participant acknowledges and agrees that the ultimate liability for all Tax-Related Items legally due by Participant is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remains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22"/>
          <w:szCs w:val="22"/>
          <w:color w:val="auto"/>
        </w:rPr>
        <w:t>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As a condition to the grant and vesting of the Restricted Stock Units and as set forth in Section 15 of the Plan, Participant hereby agrees to make adequate provision for the satisfaction of (and will indemnify the Company and any Parent or Subsidiary for) any Tax-Related Items. In this regard, the Company and/or the Employer shall have the right to satisfy the obligations with regard to any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and is an employee of the Company or its Affiliates, Participant’s obligations with respect to all Tax-Related Items shall be satisfied by the Company withholding Shares that otherwise would be issued to Participant upon payment of the vested Restricted Stock Units. Any Shares withheld pursuant to this Section 7 shall be valued based on the Fair Market Value as of the date the withholding obligations are satisfied. Furthermore, Participant agrees to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9" w:name="page30"/>
    <w:bookmarkEnd w:id="29"/>
    <w:p>
      <w:pPr>
        <w:jc w:val="both"/>
        <w:spacing w:after="0" w:line="257" w:lineRule="auto"/>
        <w:rPr>
          <w:sz w:val="20"/>
          <w:szCs w:val="20"/>
          <w:color w:val="auto"/>
        </w:rPr>
      </w:pPr>
      <w:r>
        <w:rPr>
          <w:rFonts w:ascii="Times New Roman" w:cs="Times New Roman" w:eastAsia="Times New Roman" w:hAnsi="Times New Roman"/>
          <w:sz w:val="22"/>
          <w:szCs w:val="22"/>
          <w:color w:val="auto"/>
        </w:rPr>
        <w:t>Company or any Parent, Subsidiary, or Employer any Tax-Related Items that cannot be satisfied by the foregoing methods. Any fraction of a Share which would be required to satisfy such an obligation shall be disregarded and the remaining amount due shall be paid in cash by Participant.</w:t>
      </w:r>
    </w:p>
    <w:p>
      <w:pPr>
        <w:spacing w:after="0" w:line="186" w:lineRule="exact"/>
        <w:rPr>
          <w:sz w:val="20"/>
          <w:szCs w:val="20"/>
          <w:color w:val="auto"/>
        </w:rPr>
      </w:pPr>
    </w:p>
    <w:p>
      <w:pPr>
        <w:jc w:val="both"/>
        <w:ind w:firstLine="656"/>
        <w:spacing w:after="0" w:line="251" w:lineRule="auto"/>
        <w:tabs>
          <w:tab w:leader="none" w:pos="105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18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 or Grants</w:t>
      </w:r>
      <w:r>
        <w:rPr>
          <w:rFonts w:ascii="Times New Roman" w:cs="Times New Roman" w:eastAsia="Times New Roman" w:hAnsi="Times New Roman"/>
          <w:sz w:val="22"/>
          <w:szCs w:val="22"/>
          <w:color w:val="auto"/>
        </w:rPr>
        <w:t>. PARTICIPANT</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PARENT OR SUBSIDIARY) TO TERMINATE PARTICIPANT’S RELATIONSHIP AS A SERVICE PROVIDER AT ANY TIME, WITH OR WITHOUT CAUSE, SUBJECT TO APPLICABLE LAWS.</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 w:lineRule="exact"/>
        <w:rPr>
          <w:sz w:val="20"/>
          <w:szCs w:val="20"/>
          <w:color w:val="auto"/>
        </w:rPr>
      </w:pPr>
    </w:p>
    <w:p>
      <w:pPr>
        <w:jc w:val="both"/>
        <w:ind w:firstLine="8"/>
        <w:spacing w:after="0" w:line="246" w:lineRule="auto"/>
        <w:tabs>
          <w:tab w:leader="none" w:pos="29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0" w:name="page31"/>
    <w:bookmarkEnd w:id="30"/>
    <w:p>
      <w:pPr>
        <w:jc w:val="both"/>
        <w:spacing w:after="0" w:line="257" w:lineRule="auto"/>
        <w:rPr>
          <w:sz w:val="20"/>
          <w:szCs w:val="20"/>
          <w:color w:val="auto"/>
        </w:rPr>
      </w:pPr>
      <w:r>
        <w:rPr>
          <w:rFonts w:ascii="Times New Roman" w:cs="Times New Roman" w:eastAsia="Times New Roman" w:hAnsi="Times New Roman"/>
          <w:sz w:val="22"/>
          <w:szCs w:val="22"/>
          <w:color w:val="auto"/>
        </w:rPr>
        <w:t>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186" w:lineRule="exact"/>
        <w:rPr>
          <w:sz w:val="20"/>
          <w:szCs w:val="20"/>
          <w:color w:val="auto"/>
        </w:rPr>
      </w:pPr>
    </w:p>
    <w:p>
      <w:pPr>
        <w:jc w:val="both"/>
        <w:ind w:firstLine="656"/>
        <w:spacing w:after="0" w:line="268" w:lineRule="auto"/>
        <w:tabs>
          <w:tab w:leader="none" w:pos="122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the terms of this Award Agreement will be addressed to the Company, in care of an individual determined by the Compensation Committee of the Board of Directors from time to time, or determined by a plan administrator duly appointed by the Board of Directors, at such address that may be notified to the recipient in writing from time to time, or at such other address as the Company may hereafter designate in writing.</w:t>
      </w:r>
    </w:p>
    <w:p>
      <w:pPr>
        <w:spacing w:after="0" w:line="163" w:lineRule="exact"/>
        <w:rPr>
          <w:rFonts w:ascii="Times New Roman" w:cs="Times New Roman" w:eastAsia="Times New Roman" w:hAnsi="Times New Roman"/>
          <w:sz w:val="21"/>
          <w:szCs w:val="21"/>
          <w:color w:val="auto"/>
        </w:rPr>
      </w:pPr>
    </w:p>
    <w:p>
      <w:pPr>
        <w:jc w:val="both"/>
        <w:ind w:firstLine="656"/>
        <w:spacing w:after="0" w:line="251" w:lineRule="auto"/>
        <w:tabs>
          <w:tab w:leader="none" w:pos="11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4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 and Imposition of Other Requirements</w:t>
      </w:r>
      <w:r>
        <w:rPr>
          <w:rFonts w:ascii="Times New Roman" w:cs="Times New Roman" w:eastAsia="Times New Roman" w:hAnsi="Times New Roman"/>
          <w:sz w:val="22"/>
          <w:szCs w:val="22"/>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1" w:name="page32"/>
    <w:bookmarkEnd w:id="31"/>
    <w:p>
      <w:pPr>
        <w:jc w:val="both"/>
        <w:spacing w:after="0" w:line="249" w:lineRule="auto"/>
        <w:rPr>
          <w:sz w:val="20"/>
          <w:szCs w:val="20"/>
          <w:color w:val="auto"/>
        </w:rPr>
      </w:pPr>
      <w:r>
        <w:rPr>
          <w:rFonts w:ascii="Times New Roman" w:cs="Times New Roman" w:eastAsia="Times New Roman" w:hAnsi="Times New Roman"/>
          <w:sz w:val="22"/>
          <w:szCs w:val="22"/>
          <w:color w:val="auto"/>
        </w:rPr>
        <w:t>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Participant also understands and agrees that if Participant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95" w:lineRule="exact"/>
        <w:rPr>
          <w:sz w:val="20"/>
          <w:szCs w:val="20"/>
          <w:color w:val="auto"/>
        </w:rPr>
      </w:pPr>
    </w:p>
    <w:p>
      <w:pPr>
        <w:jc w:val="both"/>
        <w:ind w:firstLine="656"/>
        <w:spacing w:after="0" w:line="257" w:lineRule="auto"/>
        <w:tabs>
          <w:tab w:leader="none" w:pos="113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2" w:lineRule="exact"/>
        <w:rPr>
          <w:rFonts w:ascii="Times New Roman" w:cs="Times New Roman" w:eastAsia="Times New Roman" w:hAnsi="Times New Roman"/>
          <w:sz w:val="22"/>
          <w:szCs w:val="22"/>
          <w:color w:val="auto"/>
        </w:rPr>
      </w:pPr>
    </w:p>
    <w:p>
      <w:pPr>
        <w:jc w:val="both"/>
        <w:ind w:firstLine="656"/>
        <w:spacing w:after="0" w:line="265" w:lineRule="auto"/>
        <w:tabs>
          <w:tab w:leader="none" w:pos="113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Authority</w:t>
      </w:r>
      <w:r>
        <w:rPr>
          <w:rFonts w:ascii="Times New Roman" w:cs="Times New Roman" w:eastAsia="Times New Roman" w:hAnsi="Times New Roman"/>
          <w:sz w:val="21"/>
          <w:szCs w:val="21"/>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8" w:lineRule="exact"/>
        <w:rPr>
          <w:rFonts w:ascii="Times New Roman" w:cs="Times New Roman" w:eastAsia="Times New Roman" w:hAnsi="Times New Roman"/>
          <w:sz w:val="21"/>
          <w:szCs w:val="21"/>
          <w:color w:val="auto"/>
        </w:rPr>
      </w:pPr>
    </w:p>
    <w:p>
      <w:pPr>
        <w:jc w:val="both"/>
        <w:ind w:firstLine="656"/>
        <w:spacing w:after="0" w:line="250" w:lineRule="auto"/>
        <w:tabs>
          <w:tab w:leader="none" w:pos="117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By accepting this Award,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at an address that may be notified to the Participant in writing from time to time.</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Translation</w:t>
      </w:r>
      <w:r>
        <w:rPr>
          <w:rFonts w:ascii="Times New Roman" w:cs="Times New Roman" w:eastAsia="Times New Roman" w:hAnsi="Times New Roman"/>
          <w:sz w:val="22"/>
          <w:szCs w:val="22"/>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72" w:lineRule="exact"/>
        <w:rPr>
          <w:rFonts w:ascii="Times New Roman" w:cs="Times New Roman" w:eastAsia="Times New Roman" w:hAnsi="Times New Roman"/>
          <w:sz w:val="22"/>
          <w:szCs w:val="22"/>
          <w:color w:val="auto"/>
        </w:rPr>
      </w:pPr>
    </w:p>
    <w:p>
      <w:pPr>
        <w:ind w:right="20" w:firstLine="656"/>
        <w:spacing w:after="0" w:line="284" w:lineRule="auto"/>
        <w:tabs>
          <w:tab w:leader="none" w:pos="121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32" w:name="page33"/>
    <w:bookmarkEnd w:id="32"/>
    <w:p>
      <w:pPr>
        <w:jc w:val="both"/>
        <w:ind w:firstLine="656"/>
        <w:spacing w:after="0" w:line="257"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49" w:lineRule="auto"/>
        <w:tabs>
          <w:tab w:leader="none" w:pos="113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spacing w:after="0" w:line="17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1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Restricted Stock Units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7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33" w:name="page34"/>
    <w:bookmarkEnd w:id="33"/>
    <w:p>
      <w:pPr>
        <w:jc w:val="both"/>
        <w:ind w:left="-220" w:firstLine="656"/>
        <w:spacing w:after="0" w:line="249" w:lineRule="auto"/>
        <w:tabs>
          <w:tab w:leader="none" w:pos="102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Exchange Fluctuations and Restrictions</w:t>
      </w:r>
      <w:r>
        <w:rPr>
          <w:rFonts w:ascii="Times New Roman" w:cs="Times New Roman" w:eastAsia="Times New Roman" w:hAnsi="Times New Roman"/>
          <w:sz w:val="22"/>
          <w:szCs w:val="22"/>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Participant to provide such entity with certain information regarding the transaction.</w:t>
      </w:r>
    </w:p>
    <w:p>
      <w:pPr>
        <w:spacing w:after="0" w:line="195" w:lineRule="exact"/>
        <w:rPr>
          <w:rFonts w:ascii="Times New Roman" w:cs="Times New Roman" w:eastAsia="Times New Roman" w:hAnsi="Times New Roman"/>
          <w:sz w:val="22"/>
          <w:szCs w:val="22"/>
          <w:color w:val="auto"/>
        </w:rPr>
      </w:pPr>
    </w:p>
    <w:p>
      <w:pPr>
        <w:jc w:val="both"/>
        <w:ind w:left="-220" w:firstLine="656"/>
        <w:spacing w:after="0" w:line="252" w:lineRule="auto"/>
        <w:tabs>
          <w:tab w:leader="none" w:pos="9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9" w:lineRule="exact"/>
        <w:rPr>
          <w:rFonts w:ascii="Times New Roman" w:cs="Times New Roman" w:eastAsia="Times New Roman" w:hAnsi="Times New Roman"/>
          <w:sz w:val="22"/>
          <w:szCs w:val="22"/>
          <w:color w:val="auto"/>
        </w:rPr>
      </w:pPr>
    </w:p>
    <w:p>
      <w:pPr>
        <w:ind w:left="-220" w:right="20" w:firstLine="656"/>
        <w:spacing w:after="0" w:line="271" w:lineRule="auto"/>
        <w:tabs>
          <w:tab w:leader="none" w:pos="100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Award Agreement will be governed by the laws of the State of Delaware, without giving effect to the conflict of law principles thereof.</w:t>
      </w:r>
    </w:p>
    <w:p>
      <w:pPr>
        <w:spacing w:after="0" w:line="171" w:lineRule="exact"/>
        <w:rPr>
          <w:rFonts w:ascii="Times New Roman" w:cs="Times New Roman" w:eastAsia="Times New Roman" w:hAnsi="Times New Roman"/>
          <w:sz w:val="22"/>
          <w:szCs w:val="22"/>
          <w:color w:val="auto"/>
        </w:rPr>
      </w:pPr>
    </w:p>
    <w:p>
      <w:pPr>
        <w:jc w:val="both"/>
        <w:ind w:left="-220" w:firstLine="656"/>
        <w:spacing w:after="0" w:line="252" w:lineRule="auto"/>
        <w:tabs>
          <w:tab w:leader="none" w:pos="95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Clawback, Recoupment and/or Recovery Policies</w:t>
      </w:r>
      <w:r>
        <w:rPr>
          <w:rFonts w:ascii="Times New Roman" w:cs="Times New Roman" w:eastAsia="Times New Roman" w:hAnsi="Times New Roman"/>
          <w:sz w:val="22"/>
          <w:szCs w:val="22"/>
          <w:color w:val="auto"/>
        </w:rPr>
        <w:t>. Participant hereby acknowledges and agrees that Participant shall be subject to and shall adhere to any compensation clawback, recoupment and/or recovery policies of the Company and/or any of its Affiliates applicable to similarly situated Participants, which shall apply, as applicable, to the Restricted Stock Units granted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42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Barcelo, certify that:</w:t>
      </w:r>
    </w:p>
    <w:p>
      <w:pPr>
        <w:spacing w:after="0" w:line="21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T1 Energy Inc.;</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18"/>
          <w:szCs w:val="18"/>
          <w:color w:val="auto"/>
        </w:rPr>
      </w:pPr>
    </w:p>
    <w:p>
      <w:pPr>
        <w:ind w:left="660" w:hanging="328"/>
        <w:spacing w:after="0" w:line="237"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Times New Roman" w:cs="Times New Roman" w:eastAsia="Times New Roman" w:hAnsi="Times New Roman"/>
          <w:sz w:val="18"/>
          <w:szCs w:val="18"/>
          <w:color w:val="auto"/>
        </w:rPr>
      </w:pPr>
    </w:p>
    <w:p>
      <w:pPr>
        <w:ind w:left="340" w:hanging="332"/>
        <w:spacing w:after="0" w:line="237"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Daniel Barcelo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Evan Calio, certify that:</w:t>
      </w:r>
    </w:p>
    <w:p>
      <w:pPr>
        <w:spacing w:after="0" w:line="21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T1 Energy Inc.;</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18"/>
          <w:szCs w:val="18"/>
          <w:color w:val="auto"/>
        </w:rPr>
      </w:pPr>
    </w:p>
    <w:p>
      <w:pPr>
        <w:ind w:left="660" w:hanging="328"/>
        <w:spacing w:after="0" w:line="237"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Times New Roman" w:cs="Times New Roman" w:eastAsia="Times New Roman" w:hAnsi="Times New Roman"/>
          <w:sz w:val="18"/>
          <w:szCs w:val="18"/>
          <w:color w:val="auto"/>
        </w:rPr>
      </w:pPr>
    </w:p>
    <w:p>
      <w:pPr>
        <w:ind w:left="340" w:hanging="332"/>
        <w:spacing w:after="0" w:line="23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Joseph Evan Calio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T1 Energy Inc. (the “Company”) on Form 10-Q for the period ended March 31, 2025 as filed with the Securities and Exchange Commission on the date hereof (the “Report”), I, Daniel Barcelo, Chief Executive Officer of the Company, hereby certify, pursuant to 18 U.S.C. § 1350, as adopted pursuant to § 906 of the Sarbanes-Oxley Act of 2002, that, to the best of my knowledge:</w:t>
      </w:r>
    </w:p>
    <w:p>
      <w:pPr>
        <w:spacing w:after="0" w:line="198" w:lineRule="exact"/>
        <w:rPr>
          <w:sz w:val="20"/>
          <w:szCs w:val="20"/>
          <w:color w:val="auto"/>
        </w:rPr>
      </w:pPr>
    </w:p>
    <w:p>
      <w:pPr>
        <w:ind w:left="1300" w:hanging="320"/>
        <w:spacing w:after="0" w:line="237"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6"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Daniel Barcelo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ind w:left="3340"/>
        <w:spacing w:after="0" w:line="203"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T1 Energy Inc. (the “Company”) on Form 10-Q for the period ended March 31, 2025 as filed with the Securities and Exchange Commission on the date hereof (the “Report”), I, Joseph Evan Calio, Chief Financial Officer of the Company, hereby certify, pursuant to 18 U.S.C. § 1350, as adopted pursuant to § 906 of the Sarbanes-Oxley Act of 2002, that, to the best of my knowledge:</w:t>
      </w:r>
    </w:p>
    <w:p>
      <w:pPr>
        <w:spacing w:after="0" w:line="198" w:lineRule="exact"/>
        <w:rPr>
          <w:sz w:val="20"/>
          <w:szCs w:val="20"/>
          <w:color w:val="auto"/>
        </w:rPr>
      </w:pPr>
    </w:p>
    <w:p>
      <w:pPr>
        <w:ind w:left="1300" w:hanging="320"/>
        <w:spacing w:after="0" w:line="237"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6"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Joseph Evan Calio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6"/>
    </w:lvl>
  </w:abstractNum>
  <w:abstractNum w:abstractNumId="5">
    <w:nsid w:val="519B500D"/>
    <w:multiLevelType w:val="hybridMultilevel"/>
    <w:lvl w:ilvl="0">
      <w:lvlJc w:val="left"/>
      <w:lvlText w:val="%1."/>
      <w:numFmt w:val="decimal"/>
      <w:start w:val="8"/>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2"/>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5"/>
    </w:lvl>
  </w:abstractNum>
  <w:abstractNum w:abstractNumId="19">
    <w:nsid w:val="8EDBDAB"/>
    <w:multiLevelType w:val="hybridMultilevel"/>
    <w:lvl w:ilvl="0">
      <w:lvlJc w:val="left"/>
      <w:lvlText w:val="%1."/>
      <w:numFmt w:val="decimal"/>
      <w:start w:val="8"/>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decimal"/>
      <w:start w:val="10"/>
    </w:lvl>
  </w:abstractNum>
  <w:abstractNum w:abstractNumId="22">
    <w:nsid w:val="B03E0C6"/>
    <w:multiLevelType w:val="hybridMultilevel"/>
    <w:lvl w:ilvl="0">
      <w:lvlJc w:val="left"/>
      <w:lvlText w:val="%1."/>
      <w:numFmt w:val="decimal"/>
      <w:start w:val="14"/>
    </w:lvl>
  </w:abstractNum>
  <w:abstractNum w:abstractNumId="23">
    <w:nsid w:val="189A769B"/>
    <w:multiLevelType w:val="hybridMultilevel"/>
    <w:lvl w:ilvl="0">
      <w:lvlJc w:val="left"/>
      <w:lvlText w:val="%1."/>
      <w:numFmt w:val="decimal"/>
      <w:start w:val="19"/>
    </w:lvl>
  </w:abstractNum>
  <w:abstractNum w:abstractNumId="24">
    <w:nsid w:val="54E49EB4"/>
    <w:multiLevelType w:val="hybridMultilevel"/>
    <w:lvl w:ilvl="0">
      <w:lvlJc w:val="left"/>
      <w:lvlText w:val="%1."/>
      <w:numFmt w:val="decimal"/>
      <w:start w:val="2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43" Type="http://schemas.openxmlformats.org/officeDocument/2006/relationships/hyperlink" Target="https://www.sec.gov/Archives/edgar/data/1992243/000121390025015030/ea023136501ex3-1_freyrbat.htm" TargetMode="External"/><Relationship Id="rId44" Type="http://schemas.openxmlformats.org/officeDocument/2006/relationships/hyperlink" Target="https://www.sec.gov/Archives/edgar/data/1992243/000121390025015030/ea023136501ex3-2_freyrbat.htm" TargetMode="External"/><Relationship Id="rId45" Type="http://schemas.openxmlformats.org/officeDocument/2006/relationships/hyperlink" Target="https://www.sec.gov/Archives/edgar/data/1992243/000121390025014298/ea023118501ex10-1_freyrbat.htm" TargetMode="External"/><Relationship Id="rId46" Type="http://schemas.openxmlformats.org/officeDocument/2006/relationships/hyperlink" Target="https://www.sec.gov/Archives/edgar/data/1992243/000121390025020257/ea023256501ex10-1_t1energy.htm" TargetMode="External"/><Relationship Id="rId47" Type="http://schemas.openxmlformats.org/officeDocument/2006/relationships/hyperlink" Target="https://www.sec.gov/Archives/edgar/data/1992243/000121390025024191/ea023435901ex10-1_t1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2025-05-15T16:00:05Z</dcterms:created>
  <dcterms:modified xsi:type="dcterms:W3CDTF">2025-05-15T16:00:05Z</dcterms:modified>
</cp:coreProperties>
</file>