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011-8k_t1energy.htm"/>
      <w:bookmarkStart w:id="1" w:name="ksea03010118k_t1energy"/>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8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7,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807"/>
            <w:bookmarkEnd w:id="6"/>
            <w:r>
              <w:rPr>
                <w:rFonts w:ascii="Times New Roman;Times;Serif" w:hAnsi="Times New Roman;Times;Serif"/>
                <w:b/>
                <w:sz w:val="20"/>
              </w:rPr>
              <w:t>001-41903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93-3205861</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Austin, </w:t>
      </w:r>
      <w:bookmarkStart w:id="10" w:name="xdx_90D_edei--EntityAddressStateOrProvin"/>
      <w:bookmarkEnd w:id="10"/>
      <w:r>
        <w:rPr>
          <w:rFonts w:ascii="Times New Roman;Times;Serif" w:hAnsi="Times New Roman;Times;Serif"/>
          <w:b/>
          <w:i w:val="false"/>
          <w:caps w:val="false"/>
          <w:smallCaps w:val="false"/>
          <w:sz w:val="20"/>
        </w:rPr>
        <w:t xml:space="preserve">Texas </w:t>
      </w:r>
      <w:bookmarkStart w:id="11" w:name="xdx_902_edei--EntityAddressPostalZipCode"/>
      <w:bookmarkEnd w:id="11"/>
      <w:r>
        <w:rPr>
          <w:rFonts w:ascii="Times New Roman;Times;Serif" w:hAnsi="Times New Roman;Times;Serif"/>
          <w:b/>
          <w:i w:val="false"/>
          <w:caps w:val="false"/>
          <w:smallCaps w:val="false"/>
          <w:sz w:val="20"/>
        </w:rPr>
        <w:t>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6_edei--CityAreaCode_c20260807__20"/>
      <w:bookmarkEnd w:id="12"/>
      <w:r>
        <w:rPr>
          <w:rFonts w:ascii="Times New Roman;Times;Serif" w:hAnsi="Times New Roman;Times;Serif"/>
          <w:b/>
          <w:i w:val="false"/>
          <w:caps w:val="false"/>
          <w:smallCaps w:val="false"/>
          <w:sz w:val="20"/>
        </w:rPr>
        <w:t>409-</w:t>
      </w:r>
      <w:bookmarkStart w:id="13" w:name="xdx_907_edei--LocalPhoneNumber_c20260807"/>
      <w:bookmarkEnd w:id="13"/>
      <w:r>
        <w:rPr>
          <w:rFonts w:ascii="Times New Roman;Times;Serif" w:hAnsi="Times New Roman;Times;Serif"/>
          <w:b/>
          <w:i w:val="false"/>
          <w:caps w:val="false"/>
          <w:smallCaps w:val="false"/>
          <w:sz w:val="20"/>
        </w:rPr>
        <w:t>599-5706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720"/>
        <w:jc w:val="both"/>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2645"/>
        <w:gridCol w:w="60"/>
        <w:gridCol w:w="1610"/>
        <w:gridCol w:w="60"/>
        <w:gridCol w:w="3710"/>
      </w:tblGrid>
      <w:tr>
        <w:trPr/>
        <w:tc>
          <w:tcPr>
            <w:tcW w:w="2645"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left"/>
              <w:rPr/>
            </w:pPr>
            <w:r>
              <w:rPr/>
              <w:t> </w:t>
            </w:r>
          </w:p>
        </w:tc>
        <w:tc>
          <w:tcPr>
            <w:tcW w:w="37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645" w:type="dxa"/>
            <w:tcBorders/>
            <w:shd w:fill="CCEEFF" w:val="clear"/>
            <w:vAlign w:val="center"/>
          </w:tcPr>
          <w:p>
            <w:pPr>
              <w:pStyle w:val="TableContents"/>
              <w:bidi w:val="0"/>
              <w:spacing w:before="0" w:after="283"/>
              <w:jc w:val="center"/>
              <w:rPr>
                <w:rFonts w:ascii="Times New Roman;Times;Serif" w:hAnsi="Times New Roman;Times;Serif"/>
                <w:sz w:val="20"/>
              </w:rPr>
            </w:pPr>
            <w:bookmarkStart w:id="18" w:name="xdx_907_edei--Security12bTitle_c20260807"/>
            <w:bookmarkEnd w:id="18"/>
            <w:r>
              <w:rPr>
                <w:rFonts w:ascii="Times New Roman;Times;Serif" w:hAnsi="Times New Roman;Times;Serif"/>
                <w:sz w:val="20"/>
              </w:rPr>
              <w:t>Common Stock, $0.01 par value</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rFonts w:ascii="Times New Roman;Times;Serif" w:hAnsi="Times New Roman;Times;Serif"/>
                <w:sz w:val="20"/>
              </w:rPr>
            </w:pPr>
            <w:bookmarkStart w:id="19" w:name="xdx_905_edei--TradingSymbol_c20260807__2"/>
            <w:bookmarkEnd w:id="19"/>
            <w:r>
              <w:rPr>
                <w:rFonts w:ascii="Times New Roman;Times;Serif" w:hAnsi="Times New Roman;Times;Serif"/>
                <w:sz w:val="20"/>
              </w:rPr>
              <w:t>TE</w:t>
            </w:r>
          </w:p>
        </w:tc>
        <w:tc>
          <w:tcPr>
            <w:tcW w:w="60" w:type="dxa"/>
            <w:tcBorders/>
            <w:shd w:fill="CCEEFF" w:val="clear"/>
            <w:vAlign w:val="center"/>
          </w:tcPr>
          <w:p>
            <w:pPr>
              <w:pStyle w:val="TableContents"/>
              <w:bidi w:val="0"/>
              <w:spacing w:before="0" w:after="283"/>
              <w:jc w:val="left"/>
              <w:rPr/>
            </w:pPr>
            <w:r>
              <w:rPr/>
              <w:t> </w:t>
            </w:r>
          </w:p>
        </w:tc>
        <w:tc>
          <w:tcPr>
            <w:tcW w:w="3710" w:type="dxa"/>
            <w:tcBorders/>
            <w:shd w:fill="CCEEFF" w:val="clear"/>
            <w:vAlign w:val="center"/>
          </w:tcPr>
          <w:p>
            <w:pPr>
              <w:pStyle w:val="TableContents"/>
              <w:bidi w:val="0"/>
              <w:spacing w:before="0" w:after="283"/>
              <w:jc w:val="center"/>
              <w:rPr>
                <w:rFonts w:ascii="Times New Roman;Times;Serif" w:hAnsi="Times New Roman;Times;Serif"/>
                <w:sz w:val="20"/>
              </w:rPr>
            </w:pPr>
            <w:bookmarkStart w:id="20" w:name="xdx_902_edei--SecurityExchangeName_c2026"/>
            <w:bookmarkEnd w:id="20"/>
            <w:r>
              <w:rPr>
                <w:rFonts w:ascii="Times New Roman;Times;Serif" w:hAnsi="Times New Roman;Times;Serif"/>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T1 Energy Inc. (the “Company”) filed with the Securities and Exchange Commission (the “SEC”) an automatic shelf registration statement on Form S-3ASR (File No. 333-292857) (the “Registration Statement”). On August 7, 2026, the Company filed a prospectus supplement pursuant to the Registration Statement covering the resale of shares of its common stock, par value $0.01 per share (the “common stock”), by Evervolt Green Energy Holding Pte, Ltd., a private company limited by shares organized under the laws of Singapore (“Evervolt”). The shares of common stock registered for resale pursuant to the prospectus supplement consist of 13,615,979 shares of common stock that were issued to Evervolt as a portion of the consideration for the purchase by the Company of certain intellectual property and proprietary rights from Evervolt pursuant to an intellectual property purchase agreement, dated July 28, 2026, between the Company and Evervolt.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prospectus supplement is not itself a sale of securities by Evervolt and does not necessarily mean that Evervolt will choose to sell any shares of common stock. If any shares of common stock are sold by Evervolt, the Company would not receive any proceeds from that sale. No securities will be issued or sold by the Company pursuant to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this current report to provide the legal opinion as to the validity of the shares of common stock covered by the prospectus supplement, which opinion is attached hereto as Exhibit 5.1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provided as part of this report: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995"/>
        <w:gridCol w:w="60"/>
        <w:gridCol w:w="654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5" w:type="dxa"/>
            <w:tcBorders/>
            <w:shd w:fill="CCEEFF" w:val="clear"/>
            <w:tcMar>
              <w:bottom w:w="0" w:type="dxa"/>
            </w:tcMar>
            <w:vAlign w:val="center"/>
          </w:tcPr>
          <w:p>
            <w:pPr>
              <w:pStyle w:val="TableContents"/>
              <w:bidi w:val="0"/>
              <w:spacing w:before="0" w:after="283"/>
              <w:jc w:val="left"/>
              <w:rPr/>
            </w:pPr>
            <w:hyperlink w:anchor="ea030101101ex5-1.htm">
              <w:r>
                <w:rPr>
                  <w:rStyle w:val="InternetLink"/>
                  <w:rFonts w:ascii="Times New Roman;Times;Serif" w:hAnsi="Times New Roman;Times;Serif"/>
                  <w:sz w:val="20"/>
                </w:rPr>
                <w:t>Opinion of Skadden, Arps, Slate, Meagher &amp; Flom LLP</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5" w:type="dxa"/>
            <w:tcBorders/>
            <w:shd w:fill="FFFFFF" w:val="clear"/>
            <w:tcMar>
              <w:bottom w:w="0" w:type="dxa"/>
            </w:tcMar>
            <w:vAlign w:val="center"/>
          </w:tcPr>
          <w:p>
            <w:pPr>
              <w:pStyle w:val="TableContents"/>
              <w:bidi w:val="0"/>
              <w:spacing w:before="0" w:after="283"/>
              <w:jc w:val="left"/>
              <w:rPr/>
            </w:pPr>
            <w:hyperlink w:anchor="ea030101101ex5-1.htm">
              <w:r>
                <w:rPr>
                  <w:rStyle w:val="InternetLink"/>
                  <w:rFonts w:ascii="Times New Roman;Times;Serif" w:hAnsi="Times New Roman;Times;Serif"/>
                  <w:sz w:val="20"/>
                </w:rPr>
                <w:t>Consent of Skadden, Arps, Slate, Meagher &amp; Flom LLP (included in Exhibit 5.1)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65"/>
        <w:gridCol w:w="635"/>
        <w:gridCol w:w="189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T1 Energy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Evan Calio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Evan Calio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101101ex5-1.htm"/>
      <w:bookmarkStart w:id="23" w:name="ksea030101101ex51"/>
      <w:bookmarkEnd w:id="22"/>
      <w:bookmarkEnd w:id="2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tbl>
      <w:tblPr>
        <w:tblW w:w="8790" w:type="dxa"/>
        <w:jc w:val="left"/>
        <w:tblInd w:w="0" w:type="dxa"/>
        <w:tblLayout w:type="fixed"/>
        <w:tblCellMar>
          <w:top w:w="0" w:type="dxa"/>
          <w:left w:w="0" w:type="dxa"/>
          <w:bottom w:w="0" w:type="dxa"/>
          <w:right w:w="0" w:type="dxa"/>
        </w:tblCellMar>
      </w:tblPr>
      <w:tblGrid>
        <w:gridCol w:w="2015"/>
        <w:gridCol w:w="4730"/>
        <w:gridCol w:w="2045"/>
      </w:tblGrid>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smallCaps/>
                <w:sz w:val="24"/>
              </w:rPr>
            </w:pPr>
            <w:r>
              <w:rPr>
                <w:smallCaps/>
                <w:sz w:val="24"/>
              </w:rPr>
              <w:t>Skadden, Arps, Slate, Meagher &amp; Flom llp</w:t>
            </w:r>
          </w:p>
        </w:tc>
        <w:tc>
          <w:tcPr>
            <w:tcW w:w="2045" w:type="dxa"/>
            <w:tcBorders/>
            <w:vAlign w:val="center"/>
          </w:tcPr>
          <w:p>
            <w:pPr>
              <w:pStyle w:val="TableContents"/>
              <w:bidi w:val="0"/>
              <w:spacing w:before="0" w:after="283"/>
              <w:jc w:val="center"/>
              <w:rPr/>
            </w:pPr>
            <w:r>
              <w:rPr/>
              <w:t> </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caps/>
                <w:sz w:val="20"/>
              </w:rPr>
            </w:pPr>
            <w:r>
              <w:rPr>
                <w:caps/>
                <w:sz w:val="20"/>
              </w:rPr>
              <w:t>845 TEXAS AVENUE, SUITE 2300</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FIRM/AFFILIATE OFFICES</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caps/>
                <w:sz w:val="20"/>
              </w:rPr>
            </w:pPr>
            <w:r>
              <w:rPr>
                <w:caps/>
                <w:sz w:val="20"/>
              </w:rPr>
              <w:t>HOUSTON, TEXAS 77002</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caps/>
                <w:sz w:val="20"/>
              </w:rPr>
            </w:pPr>
            <w:r>
              <w:rPr>
                <w:caps/>
                <w:sz w:val="20"/>
              </w:rPr>
              <w:t>________</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BOSTON</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CHICAGO</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sz w:val="20"/>
              </w:rPr>
            </w:pPr>
            <w:r>
              <w:rPr>
                <w:sz w:val="20"/>
              </w:rPr>
              <w:t>TEL: (713) 655-5100</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LOS ANGELES</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sz w:val="20"/>
              </w:rPr>
            </w:pPr>
            <w:r>
              <w:rPr>
                <w:sz w:val="20"/>
              </w:rPr>
              <w:t>FAX: (713) 655-5200</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NEW YORK</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www.skadden.com</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PALO ALTO</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WASHINGTON, D.C.</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August 7, 2026</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WILMINGTON</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ABU DHABI</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BEIJING</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BRUSSELS</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FRANKFURT</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HONG KONG</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LONDON</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MUNICH</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PARIS</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SÃO PAULO</w:t>
            </w:r>
          </w:p>
        </w:tc>
      </w:tr>
      <w:tr>
        <w:trPr/>
        <w:tc>
          <w:tcPr>
            <w:tcW w:w="2015"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SEOUL</w:t>
            </w:r>
          </w:p>
        </w:tc>
      </w:tr>
      <w:tr>
        <w:trPr/>
        <w:tc>
          <w:tcPr>
            <w:tcW w:w="2015" w:type="dxa"/>
            <w:tcBorders/>
            <w:vAlign w:val="center"/>
          </w:tcPr>
          <w:p>
            <w:pPr>
              <w:pStyle w:val="TableContents"/>
              <w:bidi w:val="0"/>
              <w:spacing w:before="0" w:after="283"/>
              <w:jc w:val="left"/>
              <w:rPr/>
            </w:pPr>
            <w:r>
              <w:rPr/>
              <w:t>T1 Energy Inc.</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SINGAPORE</w:t>
            </w:r>
          </w:p>
        </w:tc>
      </w:tr>
      <w:tr>
        <w:trPr/>
        <w:tc>
          <w:tcPr>
            <w:tcW w:w="2015" w:type="dxa"/>
            <w:tcBorders/>
            <w:vAlign w:val="center"/>
          </w:tcPr>
          <w:p>
            <w:pPr>
              <w:pStyle w:val="TableContents"/>
              <w:bidi w:val="0"/>
              <w:spacing w:before="0" w:after="283"/>
              <w:jc w:val="left"/>
              <w:rPr/>
            </w:pPr>
            <w:r>
              <w:rPr/>
              <w:t>1211 E 4th St.</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TOKYO</w:t>
            </w:r>
          </w:p>
        </w:tc>
      </w:tr>
      <w:tr>
        <w:trPr/>
        <w:tc>
          <w:tcPr>
            <w:tcW w:w="2015" w:type="dxa"/>
            <w:tcBorders/>
            <w:vAlign w:val="center"/>
          </w:tcPr>
          <w:p>
            <w:pPr>
              <w:pStyle w:val="TableContents"/>
              <w:bidi w:val="0"/>
              <w:spacing w:before="0" w:after="283"/>
              <w:jc w:val="left"/>
              <w:rPr/>
            </w:pPr>
            <w:r>
              <w:rPr/>
              <w:t>Austin, Texas 78702</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TORONTO</w:t>
            </w:r>
          </w:p>
        </w:tc>
      </w:tr>
      <w:tr>
        <w:trPr/>
        <w:tc>
          <w:tcPr>
            <w:tcW w:w="2015" w:type="dxa"/>
            <w:tcBorders/>
            <w:vAlign w:val="center"/>
          </w:tcPr>
          <w:p>
            <w:pPr>
              <w:pStyle w:val="TableContents"/>
              <w:bidi w:val="0"/>
              <w:spacing w:before="0" w:after="283"/>
              <w:jc w:val="left"/>
              <w:rPr/>
            </w:pPr>
            <w:r>
              <w:rPr/>
              <w:t>409-599-5706</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tbl>
      <w:tblPr>
        <w:tblW w:w="3910" w:type="dxa"/>
        <w:jc w:val="left"/>
        <w:tblInd w:w="0" w:type="dxa"/>
        <w:tblLayout w:type="fixed"/>
        <w:tblCellMar>
          <w:top w:w="0" w:type="dxa"/>
          <w:left w:w="0" w:type="dxa"/>
          <w:bottom w:w="0" w:type="dxa"/>
          <w:right w:w="0" w:type="dxa"/>
        </w:tblCellMar>
      </w:tblPr>
      <w:tblGrid>
        <w:gridCol w:w="75"/>
        <w:gridCol w:w="350"/>
        <w:gridCol w:w="341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10" w:type="dxa"/>
            <w:tcBorders/>
            <w:vAlign w:val="center"/>
          </w:tcPr>
          <w:p>
            <w:pPr>
              <w:pStyle w:val="TableContents"/>
              <w:bidi w:val="0"/>
              <w:spacing w:before="0" w:after="283"/>
              <w:jc w:val="both"/>
              <w:rPr/>
            </w:pPr>
            <w:r>
              <w:rPr/>
              <w:t>T1 Energy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u w:val="single"/>
              </w:rPr>
            </w:pPr>
            <w:r>
              <w:rPr>
                <w:u w:val="single"/>
              </w:rPr>
              <w:t>Registration Statement on Form S-3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T1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resale by the selling securityholder identified on Schedule 1 hereto (the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of up to 13,615,979 shares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of the Company’s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issued to Evervolt Green Energy Holding Pte, Ltd., a private company limited by shares organized under the laws of Singapore (“</w:t>
      </w:r>
      <w:r>
        <w:rPr>
          <w:rFonts w:ascii="Times New Roman;Times;Serif" w:hAnsi="Times New Roman;Times;Serif"/>
          <w:b w:val="false"/>
          <w:i w:val="false"/>
          <w:caps w:val="false"/>
          <w:smallCaps w:val="false"/>
          <w:sz w:val="20"/>
          <w:u w:val="single"/>
        </w:rPr>
        <w:t>Evervolt</w:t>
      </w:r>
      <w:r>
        <w:rPr>
          <w:rFonts w:ascii="Times New Roman;Times;Serif" w:hAnsi="Times New Roman;Times;Serif"/>
          <w:b w:val="false"/>
          <w:i w:val="false"/>
          <w:caps w:val="false"/>
          <w:smallCaps w:val="false"/>
          <w:sz w:val="20"/>
        </w:rPr>
        <w:t>”), as a portion of the consideration for the purchase by the Company of certain intellectual property and proprietary rights from Evervolt pursuant to an intellectual property purchase agreement, dated the July 28, 2026 (the “</w:t>
      </w:r>
      <w:r>
        <w:rPr>
          <w:rFonts w:ascii="Times New Roman;Times;Serif" w:hAnsi="Times New Roman;Times;Serif"/>
          <w:b w:val="false"/>
          <w:i w:val="false"/>
          <w:caps w:val="false"/>
          <w:smallCaps w:val="false"/>
          <w:sz w:val="20"/>
          <w:u w:val="single"/>
        </w:rPr>
        <w:t>IP Purchase Agreement</w:t>
      </w:r>
      <w:r>
        <w:rPr>
          <w:rFonts w:ascii="Times New Roman;Times;Serif" w:hAnsi="Times New Roman;Times;Serif"/>
          <w:b w:val="false"/>
          <w:i w:val="false"/>
          <w:caps w:val="false"/>
          <w:smallCaps w:val="false"/>
          <w:sz w:val="20"/>
        </w:rPr>
        <w:t>”), between the Company and Evervolt. The Company entered into the IP Purchase Agreement following its exercise of a call option granted to it by Evervolt under a call option letter agreement, dated July 27, 2026 (the “</w:t>
      </w:r>
      <w:r>
        <w:rPr>
          <w:rFonts w:ascii="Times New Roman;Times;Serif" w:hAnsi="Times New Roman;Times;Serif"/>
          <w:b w:val="false"/>
          <w:i w:val="false"/>
          <w:caps w:val="false"/>
          <w:smallCaps w:val="false"/>
          <w:sz w:val="20"/>
          <w:u w:val="single"/>
        </w:rPr>
        <w:t>Call Option Agreement</w:t>
      </w:r>
      <w:r>
        <w:rPr>
          <w:rFonts w:ascii="Times New Roman;Times;Serif" w:hAnsi="Times New Roman;Times;Serif"/>
          <w:b w:val="false"/>
          <w:i w:val="false"/>
          <w:caps w:val="false"/>
          <w:smallCaps w:val="false"/>
          <w:sz w:val="20"/>
        </w:rPr>
        <w:t>”), between the Company and the Evervolt.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stated herein, we have examined and relied upon the following:</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on Form S-3ASR (File No. 333-292857) of the Company relating to the Securities and other securities of the Company filed on January 21, 2026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allowing for delayed offerings pursuant to Rule 415 of the General Rules and Regulations under the Securities Act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including the information deemed to be a part of the registration statement pursuant to Rule 430B of the Rules and Regulations (such registration statement being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prospectus, dated January 21, 2026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which forms a part of and is included in the Registration Statement;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supplement, dated August 7,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relating to the offering of the Securities in the form filed with the Commission pursuant to Rule 424(b) of the Rules and Regulations;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executed copy of the IP Purchase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executed copy of the Call Option Agreement;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executed copy of the Transaction Agreement, dated as of November 6, 2024 (the “</w:t>
      </w:r>
      <w:r>
        <w:rPr>
          <w:rFonts w:ascii="Times New Roman;Times;Serif" w:hAnsi="Times New Roman;Times;Serif"/>
          <w:b w:val="false"/>
          <w:i w:val="false"/>
          <w:caps w:val="false"/>
          <w:smallCaps w:val="false"/>
          <w:sz w:val="20"/>
          <w:u w:val="single"/>
        </w:rPr>
        <w:t>Trina Agreement</w:t>
      </w:r>
      <w:r>
        <w:rPr>
          <w:rFonts w:ascii="Times New Roman;Times;Serif" w:hAnsi="Times New Roman;Times;Serif"/>
          <w:b w:val="false"/>
          <w:i w:val="false"/>
          <w:caps w:val="false"/>
          <w:smallCaps w:val="false"/>
          <w:sz w:val="20"/>
        </w:rPr>
        <w:t>”), among the company and Trina Solar (Schweiz) AG;</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executed copy of the Amended and Restated Cooperation Agreement, dated as of December 29, 2025 (the “</w:t>
      </w:r>
      <w:r>
        <w:rPr>
          <w:rFonts w:ascii="Times New Roman;Times;Serif" w:hAnsi="Times New Roman;Times;Serif"/>
          <w:b w:val="false"/>
          <w:i w:val="false"/>
          <w:caps w:val="false"/>
          <w:smallCaps w:val="false"/>
          <w:sz w:val="20"/>
          <w:u w:val="single"/>
        </w:rPr>
        <w:t>Cooperation Agreement</w:t>
      </w:r>
      <w:r>
        <w:rPr>
          <w:rFonts w:ascii="Times New Roman;Times;Serif" w:hAnsi="Times New Roman;Times;Serif"/>
          <w:b w:val="false"/>
          <w:i w:val="false"/>
          <w:caps w:val="false"/>
          <w:smallCaps w:val="false"/>
          <w:sz w:val="20"/>
        </w:rPr>
        <w:t>”), by and between the company and Trina Solar (Schweiz) AG;</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executed copy of a certificate of Harold Callo, Secretary of the Company, dated the date hereof (the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(i) the Company’s Amended and Restated Certificate of Incorporation, certified pursuant to the Secretary’s Certificate as being in effect on December 28, 2025, and (ii) the Company’s Amended and Restated Certificate of Incorporation of the Company,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certified by the Secretary of State of the State of Delaware as of August 7, 2026 and certified pursuant to the Secretary’s Certificate as being in effect on July 20, 2026 and as of the date hereof;</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copies of the Company’s Third Amended and Restated Bylaws, certified pursuant to the Secretary’s Certificate as being in effect on the date of the resolutions referred to below and as of the date hereof;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copy of certain resolutions of the Board of Directors of the Company, adopted on December 28, 2025 and July 20, 2026, certified pursuant to the Secretary’s Certificate.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the Selling Securityholder and such agreements, certificates and receipts of public officials, certificates of officers or other representatives of the Company and the Selling Securityholder and others, and such other documents as we have deemed necessary or appropriate as a basis for the opinion stated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We have also assumed that the Company received the consideration for the Securities set forth in the Transaction Agreements (as defined herein) and the applicable resolutions of the Board of Directors of the Company approving the issuance of all such Securities and the issuance of the Securities has been registered in the Company’s share registry. As to any facts relevant to the opinion stated herein that we did not independently establish or verify, we have relied upon statements and representations of officers and other representatives of the Company and the Selling Securityholder and others and of public officials including the facts and conclusions set forth in the Secretary’s Certificate and the Certificate of Incorporation and the factual representations and warranties contained in the Transaction Agreements.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(i)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those documents listed in paragraphs (i) and (j) above and (ii) “</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 means the IP Purchase Agreement and the Call Option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Securities have been duly authorized by all requisite corporate action on the part of the Company under the DGCL and are validly issued, fully paid and nonassessable.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 we have assumed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issuance of the Securities did not (i) violate any statute to which the Company or such issuance is subject (except that we do not make this assumption with respect to the DGCL) or (ii) constitute a violation of, or a breach under, or require the consent or approval of any other person under, any agreement or instrument binding on the Company (except that we do not make this assumption with respect to the Organizational Documents, the Transaction Agreements or those agreements or instruments expressed to be governed by the laws of the State of New York which are listed in Part II of the Registration Statement or included as exhibits to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authorized capital stock is as set forth in the Certificate of Incorporation and we have relied solely on the certified copy thereof issued by the Secretary of State of the State of Delaware and have not made any other inquiries or investigations;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we call to your attention that the Trina Agreement, Cooperation Agreement and Transaction Agreements are expressed to be governed by laws other than those with respect to which we express our opinion (“</w:t>
      </w:r>
      <w:r>
        <w:rPr>
          <w:rFonts w:ascii="Times New Roman;Times;Serif" w:hAnsi="Times New Roman;Times;Serif"/>
          <w:b w:val="false"/>
          <w:i w:val="false"/>
          <w:caps w:val="false"/>
          <w:smallCaps w:val="false"/>
          <w:sz w:val="20"/>
          <w:u w:val="single"/>
        </w:rPr>
        <w:t>Non-Opined on Laws</w:t>
      </w:r>
      <w:r>
        <w:rPr>
          <w:rFonts w:ascii="Times New Roman;Times;Serif" w:hAnsi="Times New Roman;Times;Serif"/>
          <w:b w:val="false"/>
          <w:i w:val="false"/>
          <w:caps w:val="false"/>
          <w:smallCaps w:val="false"/>
          <w:sz w:val="20"/>
        </w:rPr>
        <w:t>”) and the opinions expressed herein are based solely upon our understanding of the language contained in such Trina Agreement, Cooperation Agreement and Transaction Agreements under the laws of the State of New York and we have not considered any substantive provisions of such Non-Opined on Laws that may be incorporated by reference therein or supplied by such laws. We do not assume any responsibility for any interpretation thereof inconsistent with such understanding and we have not consulted attorneys admitted in any other jurisdiction (including any jurisdiction where we or our affiliated firms have offices).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Prospectus.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firstLine="144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75"/>
        <w:gridCol w:w="4550"/>
      </w:tblGrid>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/s/ Skadden, Arps, Slate, Meagher &amp; Flom LLP</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tbl>
      <w:tblPr>
        <w:tblW w:w="8695" w:type="dxa"/>
        <w:jc w:val="left"/>
        <w:tblInd w:w="0" w:type="dxa"/>
        <w:tblLayout w:type="fixed"/>
        <w:tblCellMar>
          <w:top w:w="0" w:type="dxa"/>
          <w:left w:w="0" w:type="dxa"/>
          <w:bottom w:w="28" w:type="dxa"/>
          <w:right w:w="0" w:type="dxa"/>
        </w:tblCellMar>
      </w:tblPr>
      <w:tblGrid>
        <w:gridCol w:w="3950"/>
        <w:gridCol w:w="60"/>
        <w:gridCol w:w="4685"/>
      </w:tblGrid>
      <w:tr>
        <w:trPr/>
        <w:tc>
          <w:tcPr>
            <w:tcW w:w="3950" w:type="dxa"/>
            <w:tcBorders>
              <w:bottom w:val="single" w:sz="12" w:space="0" w:color="000000"/>
            </w:tcBorders>
            <w:vAlign w:val="center"/>
          </w:tcPr>
          <w:p>
            <w:pPr>
              <w:pStyle w:val="TableContents"/>
              <w:bidi w:val="0"/>
              <w:spacing w:before="0" w:after="283"/>
              <w:jc w:val="center"/>
              <w:rPr>
                <w:b/>
              </w:rPr>
            </w:pPr>
            <w:r>
              <w:rPr>
                <w:b/>
              </w:rPr>
              <w:t>Selling Securityholder</w:t>
            </w:r>
          </w:p>
        </w:tc>
        <w:tc>
          <w:tcPr>
            <w:tcW w:w="60" w:type="dxa"/>
            <w:tcBorders/>
            <w:tcMar>
              <w:bottom w:w="0" w:type="dxa"/>
            </w:tcMar>
            <w:vAlign w:val="center"/>
          </w:tcPr>
          <w:p>
            <w:pPr>
              <w:pStyle w:val="TableContents"/>
              <w:bidi w:val="0"/>
              <w:spacing w:before="0" w:after="283"/>
              <w:jc w:val="left"/>
              <w:rPr/>
            </w:pPr>
            <w:r>
              <w:rPr/>
              <w:t> </w:t>
            </w:r>
          </w:p>
        </w:tc>
        <w:tc>
          <w:tcPr>
            <w:tcW w:w="4685" w:type="dxa"/>
            <w:tcBorders>
              <w:bottom w:val="single" w:sz="12" w:space="0" w:color="000000"/>
            </w:tcBorders>
            <w:vAlign w:val="center"/>
          </w:tcPr>
          <w:p>
            <w:pPr>
              <w:pStyle w:val="TableContents"/>
              <w:bidi w:val="0"/>
              <w:spacing w:before="0" w:after="283"/>
              <w:jc w:val="left"/>
              <w:rPr>
                <w:b/>
              </w:rPr>
            </w:pPr>
            <w:r>
              <w:rPr>
                <w:b/>
              </w:rPr>
              <w:t>Maximum Number of Securities to be Offered</w:t>
            </w:r>
          </w:p>
        </w:tc>
      </w:tr>
      <w:tr>
        <w:trPr/>
        <w:tc>
          <w:tcPr>
            <w:tcW w:w="3950" w:type="dxa"/>
            <w:tcBorders/>
            <w:shd w:fill="CCEEFF" w:val="clear"/>
            <w:tcMar>
              <w:bottom w:w="0" w:type="dxa"/>
            </w:tcMar>
            <w:vAlign w:val="center"/>
          </w:tcPr>
          <w:p>
            <w:pPr>
              <w:pStyle w:val="TableContents"/>
              <w:bidi w:val="0"/>
              <w:spacing w:before="0" w:after="283"/>
              <w:jc w:val="left"/>
              <w:rPr/>
            </w:pPr>
            <w:r>
              <w:rPr/>
              <w:t>Evervolt Green Energy Holding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85" w:type="dxa"/>
            <w:tcBorders/>
            <w:shd w:fill="CCEEFF" w:val="clear"/>
            <w:tcMar>
              <w:bottom w:w="0" w:type="dxa"/>
            </w:tcMar>
            <w:vAlign w:val="center"/>
          </w:tcPr>
          <w:p>
            <w:pPr>
              <w:pStyle w:val="TableContents"/>
              <w:bidi w:val="0"/>
              <w:spacing w:before="0" w:after="283"/>
              <w:jc w:val="left"/>
              <w:rPr/>
            </w:pPr>
            <w:r>
              <w:rPr/>
              <w:t>13,615,979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2272</Words>
  <Characters>12083</Characters>
  <CharactersWithSpaces>14373</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