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1012-424b7_t1energy.htm"/>
      <w:bookmarkStart w:id="1" w:name="ksea0301012424b7_t1energy"/>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424(b)(7)</w:t>
        <w:br/>
        <w:t>Registration No. 333-292857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br/>
        <w:t>(To Prospectus Dated January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12858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5875" cy="504825"/>
                    </a:xfrm>
                    <a:prstGeom prst="rect">
                      <a:avLst/>
                    </a:prstGeom>
                  </pic:spPr>
                </pic:pic>
              </a:graphicData>
            </a:graphic>
          </wp:inline>
        </w:drawing>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13,615,979 Shares of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the resale of up to 13,615,979 shares of T1 Energy Inc. (the “Company,” “we”, “our”, “us”, “T1 Energy”) common stock, par value $0.01 per share (the “common stock”), by the selling securityholder named in this prospectus supplement (collectively with any pledgees, donees, transferees, assignees, successors, designees and other permitted transferees, the “Selling Securityholders”). The shares of common stock registered for resale pursuant to this prospectus supplement consist of 13,615,979 shares of common stock (such shares of common stock, the “Securities”) that were issued to Evervolt Green Energy Holding Pte, Ltd., a private company limited by shares organized under the laws of Singapore (the “Evervolt”), as a portion of the consideration for the purchase by the Company of certain intellectual property and proprietary rights from Evervolt pursuant to an intellectual property purchase agreement, dated July 28, 2026 (the “IP Purchase Agreement”), between the Company and Evervolt. The Securities are being registered to fulfill our contractual obligations to the Selling Securityholders. We will not receive any of the proceeds from the resale of the Securities by the Selling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or assume all underwriting discounts, selling commissions and other expenses, if any, incurred in connection with their sale of the Securities. We have agreed to pay certain expenses in connection with the registration statement of which this prospectus supplement forms a part and to indemnify the Selling Securityholders and certain related persons against certain liabilities. As of the date of this prospectus supplement, no underwriter or other person has been engaged to facilitate the sale of the Securities held by the Selling Securityholders.</w:t>
      </w:r>
    </w:p>
    <w:p>
      <w:pPr>
        <w:pStyle w:val="TextBody"/>
        <w:bidi w:val="0"/>
        <w:spacing w:before="0" w:after="0"/>
        <w:ind w:left="21" w:right="21" w:firstLine="720"/>
        <w:jc w:val="both"/>
        <w:rPr>
          <w:caps w:val="false"/>
          <w:smallCaps w:val="false"/>
        </w:rPr>
      </w:pPr>
      <w:r>
        <w:rPr>
          <w:caps w:val="false"/>
          <w:smallCaps w:val="false"/>
        </w:rPr>
        <w:t> </w:t>
      </w:r>
    </w:p>
    <w:p>
      <w:pPr>
        <w:pStyle w:val="TextBody"/>
        <w:bidi w:val="0"/>
        <w:spacing w:before="0" w:after="0"/>
        <w:ind w:left="21" w:right="21"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in order to permit the Selling Securityholders to offer the Securities for resale from time to time. Our registration of the Securities covered by this prospectus supplement does not mean that the Selling Securityholders will offer or sell any of the Securities.</w:t>
      </w:r>
    </w:p>
    <w:p>
      <w:pPr>
        <w:pStyle w:val="TextBody"/>
        <w:bidi w:val="0"/>
        <w:spacing w:before="0" w:after="0"/>
        <w:ind w:left="21" w:right="21"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transfer or otherwise dispose of all or a portion of the Securities publicly or through private transactions at fixed prices, prevailing market prices or at negotiated prices, or at market prices prevailing at the time of sale.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is listed on the New York Stock Exchange (the “NYSE”) under the symbol “TE.” On August 6, 2026, the last reported sale price of the common stock was $5.55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AND YOU SHOULD READ THIS PROSPECTUS SUPPLEMENT, THE ACCOMPANYING PROSPECTUS AND THE DOCUMENTS INCORPORATED OR DEEMED INCORPORATED BY REFERENCE INTO THIS PROSPECTUS SUPPLEMENT AND THE ACCOMPANYING PROSPECTUS BEFORE YOU INVEST. SEE “RISK FACTORS” BEGINNING ON PAGE S-2 OF THIS PROSPECTUS SUPPLEMENT AND ANY SIMILAR SECTION INCLUDED IN THE ACCOMPANYING PROSPECTUS AND IN THE DOCUMENTS INCORPORATED BY REFERENCE HEREIN AND THEREIN. YOU SHOULD CAREFULLY CONSIDER THESE FACTORS BEFORE MAKING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other regulatory body has approved or disapproved of these securities or passed upon the adequacy or accuracy of this prospectus supplement or the accompanying prospectus.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8045"/>
        <w:gridCol w:w="485"/>
      </w:tblGrid>
      <w:tr>
        <w:trPr/>
        <w:tc>
          <w:tcPr>
            <w:tcW w:w="8045" w:type="dxa"/>
            <w:tcBorders/>
            <w:shd w:fill="CCEEFF" w:val="clear"/>
            <w:vAlign w:val="center"/>
          </w:tcPr>
          <w:p>
            <w:pPr>
              <w:pStyle w:val="TableContents"/>
              <w:bidi w:val="0"/>
              <w:spacing w:before="0" w:after="283"/>
              <w:jc w:val="left"/>
              <w:rPr/>
            </w:pPr>
            <w:hyperlink w:anchor="r_001">
              <w:r>
                <w:rPr>
                  <w:rStyle w:val="InternetLink"/>
                </w:rPr>
                <w:t>ABOUT THIS PROSPECTUS SUPPLEMENT</w:t>
              </w:r>
            </w:hyperlink>
          </w:p>
        </w:tc>
        <w:tc>
          <w:tcPr>
            <w:tcW w:w="485" w:type="dxa"/>
            <w:tcBorders/>
            <w:shd w:fill="CCEEFF" w:val="clear"/>
            <w:vAlign w:val="center"/>
          </w:tcPr>
          <w:p>
            <w:pPr>
              <w:pStyle w:val="TableContents"/>
              <w:bidi w:val="0"/>
              <w:spacing w:before="0" w:after="283"/>
              <w:jc w:val="center"/>
              <w:rPr/>
            </w:pPr>
            <w:r>
              <w:rPr/>
              <w:t>S-ii</w:t>
            </w:r>
          </w:p>
        </w:tc>
      </w:tr>
      <w:tr>
        <w:trPr/>
        <w:tc>
          <w:tcPr>
            <w:tcW w:w="804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r_002">
              <w:r>
                <w:rPr>
                  <w:rStyle w:val="InternetLink"/>
                </w:rPr>
                <w:t>CAUTIONARY NOTE REGARDING FORWARD-LOOKING STATEMENTS</w:t>
              </w:r>
            </w:hyperlink>
          </w:p>
        </w:tc>
        <w:tc>
          <w:tcPr>
            <w:tcW w:w="485" w:type="dxa"/>
            <w:tcBorders/>
            <w:shd w:fill="CCEEFF" w:val="clear"/>
            <w:vAlign w:val="center"/>
          </w:tcPr>
          <w:p>
            <w:pPr>
              <w:pStyle w:val="TableContents"/>
              <w:bidi w:val="0"/>
              <w:spacing w:before="0" w:after="283"/>
              <w:jc w:val="center"/>
              <w:rPr/>
            </w:pPr>
            <w:r>
              <w:rPr/>
              <w:t>S-iii</w:t>
            </w:r>
          </w:p>
        </w:tc>
      </w:tr>
      <w:tr>
        <w:trPr/>
        <w:tc>
          <w:tcPr>
            <w:tcW w:w="804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r_003">
              <w:r>
                <w:rPr>
                  <w:rStyle w:val="InternetLink"/>
                </w:rPr>
                <w:t>SUMMARY OF THIS PROSPECTUS SUPPLEMENT</w:t>
              </w:r>
            </w:hyperlink>
          </w:p>
        </w:tc>
        <w:tc>
          <w:tcPr>
            <w:tcW w:w="485" w:type="dxa"/>
            <w:tcBorders/>
            <w:shd w:fill="CCEEFF" w:val="clear"/>
            <w:vAlign w:val="center"/>
          </w:tcPr>
          <w:p>
            <w:pPr>
              <w:pStyle w:val="TableContents"/>
              <w:bidi w:val="0"/>
              <w:spacing w:before="0" w:after="283"/>
              <w:jc w:val="center"/>
              <w:rPr/>
            </w:pPr>
            <w:r>
              <w:rPr/>
              <w:t>S-1</w:t>
            </w:r>
          </w:p>
        </w:tc>
      </w:tr>
      <w:tr>
        <w:trPr/>
        <w:tc>
          <w:tcPr>
            <w:tcW w:w="804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r_004">
              <w:r>
                <w:rPr>
                  <w:rStyle w:val="InternetLink"/>
                </w:rPr>
                <w:t>RISK FACTORS</w:t>
              </w:r>
            </w:hyperlink>
          </w:p>
        </w:tc>
        <w:tc>
          <w:tcPr>
            <w:tcW w:w="485" w:type="dxa"/>
            <w:tcBorders/>
            <w:shd w:fill="CCEEFF" w:val="clear"/>
            <w:vAlign w:val="center"/>
          </w:tcPr>
          <w:p>
            <w:pPr>
              <w:pStyle w:val="TableContents"/>
              <w:bidi w:val="0"/>
              <w:spacing w:before="0" w:after="283"/>
              <w:jc w:val="center"/>
              <w:rPr/>
            </w:pPr>
            <w:r>
              <w:rPr/>
              <w:t>S-2</w:t>
            </w:r>
          </w:p>
        </w:tc>
      </w:tr>
      <w:tr>
        <w:trPr/>
        <w:tc>
          <w:tcPr>
            <w:tcW w:w="804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r_005">
              <w:r>
                <w:rPr>
                  <w:rStyle w:val="InternetLink"/>
                </w:rPr>
                <w:t>USE OF PROCEEDS</w:t>
              </w:r>
            </w:hyperlink>
          </w:p>
        </w:tc>
        <w:tc>
          <w:tcPr>
            <w:tcW w:w="485" w:type="dxa"/>
            <w:tcBorders/>
            <w:shd w:fill="CCEEFF" w:val="clear"/>
            <w:vAlign w:val="center"/>
          </w:tcPr>
          <w:p>
            <w:pPr>
              <w:pStyle w:val="TableContents"/>
              <w:bidi w:val="0"/>
              <w:spacing w:before="0" w:after="283"/>
              <w:jc w:val="center"/>
              <w:rPr/>
            </w:pPr>
            <w:r>
              <w:rPr/>
              <w:t>S-4</w:t>
            </w:r>
          </w:p>
        </w:tc>
      </w:tr>
      <w:tr>
        <w:trPr/>
        <w:tc>
          <w:tcPr>
            <w:tcW w:w="804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r_006">
              <w:r>
                <w:rPr>
                  <w:rStyle w:val="InternetLink"/>
                </w:rPr>
                <w:t>DESCRIPTION OF SECURITIES BEING REGISTERED</w:t>
              </w:r>
            </w:hyperlink>
          </w:p>
        </w:tc>
        <w:tc>
          <w:tcPr>
            <w:tcW w:w="485" w:type="dxa"/>
            <w:tcBorders/>
            <w:shd w:fill="CCEEFF" w:val="clear"/>
            <w:vAlign w:val="center"/>
          </w:tcPr>
          <w:p>
            <w:pPr>
              <w:pStyle w:val="TableContents"/>
              <w:bidi w:val="0"/>
              <w:spacing w:before="0" w:after="283"/>
              <w:jc w:val="center"/>
              <w:rPr/>
            </w:pPr>
            <w:r>
              <w:rPr/>
              <w:t>S-4</w:t>
            </w:r>
          </w:p>
        </w:tc>
      </w:tr>
      <w:tr>
        <w:trPr/>
        <w:tc>
          <w:tcPr>
            <w:tcW w:w="804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r_007">
              <w:r>
                <w:rPr>
                  <w:rStyle w:val="InternetLink"/>
                </w:rPr>
                <w:t>SELLING SECURITYHOLDERS</w:t>
              </w:r>
            </w:hyperlink>
          </w:p>
        </w:tc>
        <w:tc>
          <w:tcPr>
            <w:tcW w:w="485" w:type="dxa"/>
            <w:tcBorders/>
            <w:shd w:fill="CCEEFF" w:val="clear"/>
            <w:vAlign w:val="center"/>
          </w:tcPr>
          <w:p>
            <w:pPr>
              <w:pStyle w:val="TableContents"/>
              <w:bidi w:val="0"/>
              <w:spacing w:before="0" w:after="283"/>
              <w:jc w:val="center"/>
              <w:rPr/>
            </w:pPr>
            <w:r>
              <w:rPr/>
              <w:t>S-9</w:t>
            </w:r>
          </w:p>
        </w:tc>
      </w:tr>
      <w:tr>
        <w:trPr/>
        <w:tc>
          <w:tcPr>
            <w:tcW w:w="804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r_008">
              <w:r>
                <w:rPr>
                  <w:rStyle w:val="InternetLink"/>
                </w:rPr>
                <w:t>PLAN OF DISTRIBUTION</w:t>
              </w:r>
            </w:hyperlink>
          </w:p>
        </w:tc>
        <w:tc>
          <w:tcPr>
            <w:tcW w:w="485" w:type="dxa"/>
            <w:tcBorders/>
            <w:shd w:fill="CCEEFF" w:val="clear"/>
            <w:vAlign w:val="center"/>
          </w:tcPr>
          <w:p>
            <w:pPr>
              <w:pStyle w:val="TableContents"/>
              <w:bidi w:val="0"/>
              <w:spacing w:before="0" w:after="283"/>
              <w:jc w:val="center"/>
              <w:rPr/>
            </w:pPr>
            <w:r>
              <w:rPr/>
              <w:t>S-10</w:t>
            </w:r>
          </w:p>
        </w:tc>
      </w:tr>
      <w:tr>
        <w:trPr/>
        <w:tc>
          <w:tcPr>
            <w:tcW w:w="804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r_009">
              <w:r>
                <w:rPr>
                  <w:rStyle w:val="InternetLink"/>
                </w:rPr>
                <w:t>LEGAL MATTERS</w:t>
              </w:r>
            </w:hyperlink>
          </w:p>
        </w:tc>
        <w:tc>
          <w:tcPr>
            <w:tcW w:w="485" w:type="dxa"/>
            <w:tcBorders/>
            <w:shd w:fill="CCEEFF" w:val="clear"/>
            <w:vAlign w:val="center"/>
          </w:tcPr>
          <w:p>
            <w:pPr>
              <w:pStyle w:val="TableContents"/>
              <w:bidi w:val="0"/>
              <w:spacing w:before="0" w:after="283"/>
              <w:jc w:val="center"/>
              <w:rPr/>
            </w:pPr>
            <w:r>
              <w:rPr/>
              <w:t>S-13</w:t>
            </w:r>
          </w:p>
        </w:tc>
      </w:tr>
      <w:tr>
        <w:trPr/>
        <w:tc>
          <w:tcPr>
            <w:tcW w:w="804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r_010">
              <w:r>
                <w:rPr>
                  <w:rStyle w:val="InternetLink"/>
                </w:rPr>
                <w:t>EXPERTS</w:t>
              </w:r>
            </w:hyperlink>
          </w:p>
        </w:tc>
        <w:tc>
          <w:tcPr>
            <w:tcW w:w="485" w:type="dxa"/>
            <w:tcBorders/>
            <w:shd w:fill="CCEEFF" w:val="clear"/>
            <w:vAlign w:val="center"/>
          </w:tcPr>
          <w:p>
            <w:pPr>
              <w:pStyle w:val="TableContents"/>
              <w:bidi w:val="0"/>
              <w:spacing w:before="0" w:after="283"/>
              <w:jc w:val="center"/>
              <w:rPr/>
            </w:pPr>
            <w:r>
              <w:rPr/>
              <w:t>S-13</w:t>
            </w:r>
          </w:p>
        </w:tc>
      </w:tr>
      <w:tr>
        <w:trPr/>
        <w:tc>
          <w:tcPr>
            <w:tcW w:w="804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r_011">
              <w:r>
                <w:rPr>
                  <w:rStyle w:val="InternetLink"/>
                </w:rPr>
                <w:t>WHERE YOU CAN FIND MORE INFORMATION</w:t>
              </w:r>
            </w:hyperlink>
          </w:p>
        </w:tc>
        <w:tc>
          <w:tcPr>
            <w:tcW w:w="485" w:type="dxa"/>
            <w:tcBorders/>
            <w:shd w:fill="CCEEFF" w:val="clear"/>
            <w:vAlign w:val="center"/>
          </w:tcPr>
          <w:p>
            <w:pPr>
              <w:pStyle w:val="TableContents"/>
              <w:bidi w:val="0"/>
              <w:spacing w:before="0" w:after="283"/>
              <w:jc w:val="center"/>
              <w:rPr/>
            </w:pPr>
            <w:r>
              <w:rPr/>
              <w:t>S-13</w:t>
            </w:r>
          </w:p>
        </w:tc>
      </w:tr>
      <w:tr>
        <w:trPr/>
        <w:tc>
          <w:tcPr>
            <w:tcW w:w="804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r_012">
              <w:r>
                <w:rPr>
                  <w:rStyle w:val="InternetLink"/>
                </w:rPr>
                <w:t>INCORPORATION OF CERTAIN DOCUMENTS BY REFERENCE</w:t>
              </w:r>
            </w:hyperlink>
          </w:p>
        </w:tc>
        <w:tc>
          <w:tcPr>
            <w:tcW w:w="485" w:type="dxa"/>
            <w:tcBorders/>
            <w:shd w:fill="CCEEFF" w:val="clear"/>
            <w:vAlign w:val="center"/>
          </w:tcPr>
          <w:p>
            <w:pPr>
              <w:pStyle w:val="TableContents"/>
              <w:bidi w:val="0"/>
              <w:spacing w:before="0" w:after="283"/>
              <w:jc w:val="center"/>
              <w:rPr/>
            </w:pPr>
            <w:r>
              <w:rPr/>
              <w:t>S-14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January 21, 2026</w:t>
      </w:r>
    </w:p>
    <w:p>
      <w:pPr>
        <w:pStyle w:val="TextBody"/>
        <w:bidi w:val="0"/>
        <w:spacing w:before="0" w:after="0"/>
        <w:ind w:left="0" w:right="0" w:hanging="0"/>
        <w:jc w:val="center"/>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8045"/>
        <w:gridCol w:w="275"/>
      </w:tblGrid>
      <w:tr>
        <w:trPr/>
        <w:tc>
          <w:tcPr>
            <w:tcW w:w="8045" w:type="dxa"/>
            <w:tcBorders/>
            <w:shd w:fill="CCEEFF" w:val="clear"/>
            <w:vAlign w:val="center"/>
          </w:tcPr>
          <w:p>
            <w:pPr>
              <w:pStyle w:val="TableContents"/>
              <w:bidi w:val="0"/>
              <w:spacing w:before="0" w:after="283"/>
              <w:ind w:left="0" w:right="0" w:hanging="720"/>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ind w:left="0" w:right="0" w:hanging="720"/>
              <w:jc w:val="center"/>
              <w:rPr/>
            </w:pPr>
            <w:r>
              <w:rPr/>
              <w:t>ii</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2">
              <w:r>
                <w:rPr>
                  <w:rStyle w:val="InternetLink"/>
                </w:rPr>
                <w:t>CAUTIONARY NOTE REGARDING FORWARD-LOOKING STATEMENTS</w:t>
              </w:r>
            </w:hyperlink>
          </w:p>
        </w:tc>
        <w:tc>
          <w:tcPr>
            <w:tcW w:w="275" w:type="dxa"/>
            <w:tcBorders/>
            <w:shd w:fill="CCEEFF" w:val="clear"/>
            <w:vAlign w:val="center"/>
          </w:tcPr>
          <w:p>
            <w:pPr>
              <w:pStyle w:val="TableContents"/>
              <w:bidi w:val="0"/>
              <w:spacing w:before="0" w:after="283"/>
              <w:ind w:left="0" w:right="0" w:hanging="720"/>
              <w:jc w:val="center"/>
              <w:rPr/>
            </w:pPr>
            <w:r>
              <w:rPr/>
              <w:t>iii</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3">
              <w:r>
                <w:rPr>
                  <w:rStyle w:val="InternetLink"/>
                </w:rPr>
                <w:t>OUR COMPANY</w:t>
              </w:r>
            </w:hyperlink>
          </w:p>
        </w:tc>
        <w:tc>
          <w:tcPr>
            <w:tcW w:w="275" w:type="dxa"/>
            <w:tcBorders/>
            <w:shd w:fill="CCEEFF" w:val="clear"/>
            <w:vAlign w:val="center"/>
          </w:tcPr>
          <w:p>
            <w:pPr>
              <w:pStyle w:val="TableContents"/>
              <w:bidi w:val="0"/>
              <w:spacing w:before="0" w:after="283"/>
              <w:ind w:left="0" w:right="0" w:hanging="720"/>
              <w:jc w:val="center"/>
              <w:rPr/>
            </w:pPr>
            <w:r>
              <w:rPr/>
              <w:t>1</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4">
              <w:r>
                <w:rPr>
                  <w:rStyle w:val="InternetLink"/>
                </w:rPr>
                <w:t>RISK FACTORS</w:t>
              </w:r>
            </w:hyperlink>
          </w:p>
        </w:tc>
        <w:tc>
          <w:tcPr>
            <w:tcW w:w="275" w:type="dxa"/>
            <w:tcBorders/>
            <w:shd w:fill="CCEEFF" w:val="clear"/>
            <w:vAlign w:val="center"/>
          </w:tcPr>
          <w:p>
            <w:pPr>
              <w:pStyle w:val="TableContents"/>
              <w:bidi w:val="0"/>
              <w:spacing w:before="0" w:after="283"/>
              <w:ind w:left="0" w:right="0" w:hanging="720"/>
              <w:jc w:val="center"/>
              <w:rPr/>
            </w:pPr>
            <w:r>
              <w:rPr/>
              <w:t>2</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5">
              <w:r>
                <w:rPr>
                  <w:rStyle w:val="InternetLink"/>
                </w:rPr>
                <w:t>USE OF PROCEEDS</w:t>
              </w:r>
            </w:hyperlink>
          </w:p>
        </w:tc>
        <w:tc>
          <w:tcPr>
            <w:tcW w:w="275" w:type="dxa"/>
            <w:tcBorders/>
            <w:shd w:fill="CCEEFF" w:val="clear"/>
            <w:vAlign w:val="center"/>
          </w:tcPr>
          <w:p>
            <w:pPr>
              <w:pStyle w:val="TableContents"/>
              <w:bidi w:val="0"/>
              <w:spacing w:before="0" w:after="283"/>
              <w:ind w:left="0" w:right="0" w:hanging="720"/>
              <w:jc w:val="center"/>
              <w:rPr/>
            </w:pPr>
            <w:r>
              <w:rPr/>
              <w:t>3</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6">
              <w:r>
                <w:rPr>
                  <w:rStyle w:val="InternetLink"/>
                </w:rPr>
                <w:t>DESCRIPTION OF SECURITIES</w:t>
              </w:r>
            </w:hyperlink>
          </w:p>
        </w:tc>
        <w:tc>
          <w:tcPr>
            <w:tcW w:w="275" w:type="dxa"/>
            <w:tcBorders/>
            <w:shd w:fill="CCEEFF" w:val="clear"/>
            <w:vAlign w:val="center"/>
          </w:tcPr>
          <w:p>
            <w:pPr>
              <w:pStyle w:val="TableContents"/>
              <w:bidi w:val="0"/>
              <w:spacing w:before="0" w:after="283"/>
              <w:ind w:left="0" w:right="0" w:hanging="720"/>
              <w:jc w:val="center"/>
              <w:rPr/>
            </w:pPr>
            <w:r>
              <w:rPr/>
              <w:t>4</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7">
              <w:r>
                <w:rPr>
                  <w:rStyle w:val="InternetLink"/>
                </w:rPr>
                <w:t>DESCRIPTION OF CAPITAL STOCK</w:t>
              </w:r>
            </w:hyperlink>
          </w:p>
        </w:tc>
        <w:tc>
          <w:tcPr>
            <w:tcW w:w="275" w:type="dxa"/>
            <w:tcBorders/>
            <w:shd w:fill="CCEEFF" w:val="clear"/>
            <w:vAlign w:val="center"/>
          </w:tcPr>
          <w:p>
            <w:pPr>
              <w:pStyle w:val="TableContents"/>
              <w:bidi w:val="0"/>
              <w:spacing w:before="0" w:after="283"/>
              <w:ind w:left="0" w:right="0" w:hanging="720"/>
              <w:jc w:val="center"/>
              <w:rPr/>
            </w:pPr>
            <w:r>
              <w:rPr/>
              <w:t>5</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8">
              <w:r>
                <w:rPr>
                  <w:rStyle w:val="InternetLink"/>
                </w:rPr>
                <w:t>DESCRIPTION OF DEBT SECURITIES</w:t>
              </w:r>
            </w:hyperlink>
          </w:p>
        </w:tc>
        <w:tc>
          <w:tcPr>
            <w:tcW w:w="275" w:type="dxa"/>
            <w:tcBorders/>
            <w:shd w:fill="CCEEFF" w:val="clear"/>
            <w:vAlign w:val="center"/>
          </w:tcPr>
          <w:p>
            <w:pPr>
              <w:pStyle w:val="TableContents"/>
              <w:bidi w:val="0"/>
              <w:spacing w:before="0" w:after="283"/>
              <w:ind w:left="0" w:right="0" w:hanging="720"/>
              <w:jc w:val="center"/>
              <w:rPr/>
            </w:pPr>
            <w:r>
              <w:rPr/>
              <w:t>13</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m_001">
              <w:r>
                <w:rPr>
                  <w:rStyle w:val="InternetLink"/>
                </w:rPr>
                <w:t>DESCRIPTION OF EXISTING WARRANTS</w:t>
              </w:r>
            </w:hyperlink>
          </w:p>
        </w:tc>
        <w:tc>
          <w:tcPr>
            <w:tcW w:w="275" w:type="dxa"/>
            <w:tcBorders/>
            <w:shd w:fill="CCEEFF" w:val="clear"/>
            <w:vAlign w:val="center"/>
          </w:tcPr>
          <w:p>
            <w:pPr>
              <w:pStyle w:val="TableContents"/>
              <w:bidi w:val="0"/>
              <w:spacing w:before="0" w:after="283"/>
              <w:ind w:left="0" w:right="0" w:hanging="720"/>
              <w:jc w:val="center"/>
              <w:rPr/>
            </w:pPr>
            <w:r>
              <w:rPr/>
              <w:t>15</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09">
              <w:r>
                <w:rPr>
                  <w:rStyle w:val="InternetLink"/>
                </w:rPr>
                <w:t>DESCRIPTION OF NEW WARRANTS</w:t>
              </w:r>
            </w:hyperlink>
          </w:p>
        </w:tc>
        <w:tc>
          <w:tcPr>
            <w:tcW w:w="275" w:type="dxa"/>
            <w:tcBorders/>
            <w:shd w:fill="CCEEFF" w:val="clear"/>
            <w:vAlign w:val="center"/>
          </w:tcPr>
          <w:p>
            <w:pPr>
              <w:pStyle w:val="TableContents"/>
              <w:bidi w:val="0"/>
              <w:spacing w:before="0" w:after="283"/>
              <w:ind w:left="0" w:right="0" w:hanging="720"/>
              <w:jc w:val="center"/>
              <w:rPr/>
            </w:pPr>
            <w:r>
              <w:rPr/>
              <w:t>19</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0">
              <w:r>
                <w:rPr>
                  <w:rStyle w:val="InternetLink"/>
                </w:rPr>
                <w:t>DESCRIPTION OF SUBSCRIPTION RIGHTS</w:t>
              </w:r>
            </w:hyperlink>
          </w:p>
        </w:tc>
        <w:tc>
          <w:tcPr>
            <w:tcW w:w="275" w:type="dxa"/>
            <w:tcBorders/>
            <w:shd w:fill="CCEEFF" w:val="clear"/>
            <w:vAlign w:val="center"/>
          </w:tcPr>
          <w:p>
            <w:pPr>
              <w:pStyle w:val="TableContents"/>
              <w:bidi w:val="0"/>
              <w:spacing w:before="0" w:after="283"/>
              <w:ind w:left="0" w:right="0" w:hanging="720"/>
              <w:jc w:val="center"/>
              <w:rPr/>
            </w:pPr>
            <w:r>
              <w:rPr/>
              <w:t>20</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1">
              <w:r>
                <w:rPr>
                  <w:rStyle w:val="InternetLink"/>
                </w:rPr>
                <w:t>DESCRIPTION OF PURCHASE UNITS</w:t>
              </w:r>
            </w:hyperlink>
          </w:p>
        </w:tc>
        <w:tc>
          <w:tcPr>
            <w:tcW w:w="275" w:type="dxa"/>
            <w:tcBorders/>
            <w:shd w:fill="CCEEFF" w:val="clear"/>
            <w:vAlign w:val="center"/>
          </w:tcPr>
          <w:p>
            <w:pPr>
              <w:pStyle w:val="TableContents"/>
              <w:bidi w:val="0"/>
              <w:spacing w:before="0" w:after="283"/>
              <w:ind w:left="0" w:right="0" w:hanging="720"/>
              <w:jc w:val="center"/>
              <w:rPr/>
            </w:pPr>
            <w:r>
              <w:rPr/>
              <w:t>21</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2">
              <w:r>
                <w:rPr>
                  <w:rStyle w:val="InternetLink"/>
                </w:rPr>
                <w:t>SELLING SECURITYHOLDERS</w:t>
              </w:r>
            </w:hyperlink>
          </w:p>
        </w:tc>
        <w:tc>
          <w:tcPr>
            <w:tcW w:w="275" w:type="dxa"/>
            <w:tcBorders/>
            <w:shd w:fill="CCEEFF" w:val="clear"/>
            <w:vAlign w:val="center"/>
          </w:tcPr>
          <w:p>
            <w:pPr>
              <w:pStyle w:val="TableContents"/>
              <w:bidi w:val="0"/>
              <w:spacing w:before="0" w:after="283"/>
              <w:ind w:left="0" w:right="0" w:hanging="720"/>
              <w:jc w:val="center"/>
              <w:rPr/>
            </w:pPr>
            <w:r>
              <w:rPr/>
              <w:t>22</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3">
              <w:r>
                <w:rPr>
                  <w:rStyle w:val="InternetLink"/>
                </w:rPr>
                <w:t>PLAN OF DISTRIBUTION</w:t>
              </w:r>
            </w:hyperlink>
          </w:p>
        </w:tc>
        <w:tc>
          <w:tcPr>
            <w:tcW w:w="275" w:type="dxa"/>
            <w:tcBorders/>
            <w:shd w:fill="CCEEFF" w:val="clear"/>
            <w:vAlign w:val="center"/>
          </w:tcPr>
          <w:p>
            <w:pPr>
              <w:pStyle w:val="TableContents"/>
              <w:bidi w:val="0"/>
              <w:spacing w:before="0" w:after="283"/>
              <w:ind w:left="0" w:right="0" w:hanging="720"/>
              <w:jc w:val="center"/>
              <w:rPr/>
            </w:pPr>
            <w:r>
              <w:rPr/>
              <w:t>23</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4">
              <w:r>
                <w:rPr>
                  <w:rStyle w:val="InternetLink"/>
                </w:rPr>
                <w:t>LEGAL MATTERS</w:t>
              </w:r>
            </w:hyperlink>
          </w:p>
        </w:tc>
        <w:tc>
          <w:tcPr>
            <w:tcW w:w="275" w:type="dxa"/>
            <w:tcBorders/>
            <w:shd w:fill="CCEEFF" w:val="clear"/>
            <w:vAlign w:val="center"/>
          </w:tcPr>
          <w:p>
            <w:pPr>
              <w:pStyle w:val="TableContents"/>
              <w:bidi w:val="0"/>
              <w:spacing w:before="0" w:after="283"/>
              <w:ind w:left="0" w:right="0" w:hanging="720"/>
              <w:jc w:val="center"/>
              <w:rPr/>
            </w:pPr>
            <w:r>
              <w:rPr/>
              <w:t>24</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5">
              <w:r>
                <w:rPr>
                  <w:rStyle w:val="InternetLink"/>
                </w:rPr>
                <w:t>EXPERTS</w:t>
              </w:r>
            </w:hyperlink>
          </w:p>
        </w:tc>
        <w:tc>
          <w:tcPr>
            <w:tcW w:w="275" w:type="dxa"/>
            <w:tcBorders/>
            <w:shd w:fill="CCEEFF" w:val="clear"/>
            <w:vAlign w:val="center"/>
          </w:tcPr>
          <w:p>
            <w:pPr>
              <w:pStyle w:val="TableContents"/>
              <w:bidi w:val="0"/>
              <w:spacing w:before="0" w:after="283"/>
              <w:ind w:left="0" w:right="0" w:hanging="720"/>
              <w:jc w:val="center"/>
              <w:rPr/>
            </w:pPr>
            <w:r>
              <w:rPr/>
              <w:t>25</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6">
              <w:r>
                <w:rPr>
                  <w:rStyle w:val="InternetLink"/>
                </w:rPr>
                <w:t>WHERE YOU CAN FIND MORE INFORMATION</w:t>
              </w:r>
            </w:hyperlink>
          </w:p>
        </w:tc>
        <w:tc>
          <w:tcPr>
            <w:tcW w:w="275" w:type="dxa"/>
            <w:tcBorders/>
            <w:shd w:fill="CCEEFF" w:val="clear"/>
            <w:vAlign w:val="center"/>
          </w:tcPr>
          <w:p>
            <w:pPr>
              <w:pStyle w:val="TableContents"/>
              <w:bidi w:val="0"/>
              <w:spacing w:before="0" w:after="283"/>
              <w:ind w:left="0" w:right="0" w:hanging="720"/>
              <w:jc w:val="center"/>
              <w:rPr/>
            </w:pPr>
            <w:r>
              <w:rPr/>
              <w:t>26</w:t>
            </w:r>
          </w:p>
        </w:tc>
      </w:tr>
      <w:tr>
        <w:trPr/>
        <w:tc>
          <w:tcPr>
            <w:tcW w:w="804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720"/>
              <w:jc w:val="center"/>
              <w:rPr/>
            </w:pPr>
            <w:r>
              <w:rPr/>
              <w:t> </w:t>
            </w:r>
          </w:p>
        </w:tc>
      </w:tr>
      <w:tr>
        <w:trPr/>
        <w:tc>
          <w:tcPr>
            <w:tcW w:w="8045" w:type="dxa"/>
            <w:tcBorders/>
            <w:shd w:fill="CCEEFF" w:val="clear"/>
            <w:vAlign w:val="center"/>
          </w:tcPr>
          <w:p>
            <w:pPr>
              <w:pStyle w:val="TableContents"/>
              <w:bidi w:val="0"/>
              <w:spacing w:before="0" w:after="283"/>
              <w:jc w:val="left"/>
              <w:rPr/>
            </w:pPr>
            <w:hyperlink w:anchor="a_017">
              <w:r>
                <w:rPr>
                  <w:rStyle w:val="InternetLink"/>
                </w:rPr>
                <w:t>INCORPORATION OF CERTAIN DOCUMENTS BY REFERENCE</w:t>
              </w:r>
            </w:hyperlink>
          </w:p>
        </w:tc>
        <w:tc>
          <w:tcPr>
            <w:tcW w:w="275" w:type="dxa"/>
            <w:tcBorders/>
            <w:shd w:fill="CCEEFF" w:val="clear"/>
            <w:vAlign w:val="center"/>
          </w:tcPr>
          <w:p>
            <w:pPr>
              <w:pStyle w:val="TableContents"/>
              <w:bidi w:val="0"/>
              <w:spacing w:before="0" w:after="283"/>
              <w:jc w:val="center"/>
              <w:rPr/>
            </w:pPr>
            <w:r>
              <w:rPr/>
              <w:t>27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r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an automatic registration statement on Form S-3 that we filed with the SEC utilizing a “shelf” registration process as a “well-known seasoned issuer,” as defined in Rule 405 under the Securities Act of 1933, as amended (the “Securities Act”). Under this process, the Selling Securityholders named in this prospectus supplement may sell the Securities from time to time. The exhibits to the registration statement of which this prospectus supplement is a part and documents incorporated by reference herein contain the full text of certain contracts and other important documents that we have summarized in this prospectus supplement and the accompanying prospectus. Since these summaries may not contain all the information that you may find important in deciding whether to acquire or purchase Securities offered by this prospectus supplement, you should review the full text of these documents. We may provide an additional prospectus supplement or post-effective amendment to the registration statement of which this prospectus supplement forms a part to add to, update or change the information contained in this prospectus supplement. The registration statement and the exhibits and other documents can be obtained from the SEC as indicated under the section entitled “Where You Can Find More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when we refer to this “prospectus supplement,” we are referring to both this prospectus supplement and the accompanying prospectus, as well as the documents incorporated by reference herein and therein.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statements made in the accompanying prospectus and documents incorporated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offer the Securities directly or through one or more broker-dealers or agents.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you with any information or to make any representations other than those contained in this prospectus supplement prepared by or on behalf of us or to which we have referred you. We and the Selling Securityholders take no responsibility for, and can provide no assurance as to the reliability of, any other information that others may give you. The information contained in this prospectus supplement is accurate only as of its respective date. Our business, financial condition, results of operations and prospects may have changed materially since those dates. Neither we nor the Selling Securityholders will make an offer to sell these Securities in any jurisdiction where the offer or sale is not permitted.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and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supplement, unless otherwise stated or unless the context otherwise requires: references to the “Company,” “T1 Energy,” the “registrant,” “we,” “our,” “us” and similar terms are to T1 Energy Inc., a Delaware corporation, and where appropriate, its wholly-owned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r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including the information and documents incorporated by reference herein and therein, contain forward-looking statements within the meaning of Section 27A of the Securities Act and Section 21E of the Securities Exchange Act of 1934, as amended (the “Exchange Act”). All statements other than statements of historical or current facts contained or incorporated by reference in this prospectus supplement and the accompanying prospectus may be forward-looking statements. Statements regarding our future results and timing of operations, expected performance and financial position, business strategy and plans and objectives of management for future operations, including, among others, statements regarding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or the negative of these words, other similar expressions or by discussions of strategy, plans or intentions and are intended to identify forward-looking statements, although not all forward-looking statements contain such identifying words.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or incorporated by reference in this prospectus supplement and the accompanying prospectus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risks, uncertainties and other important factors include, without limitation, the risks set forth in Part I, Item 1A, “Risk Factors” in our Annual Report on Form 10-K for the year ended December 31, 2025 filed with the SEC on March 31, 2026, as amended and supplemented by Amendment No. 1 on Form 10-K/A filed with the SEC on April 30, 2026, and in our subsequent Quarterly Reports on Form 10-Q and our other filings with the SEC, including risks related to: (1) the Company’s ability to (i) construct and equip manufacturing facilities in a timely and cost-effective manner; (ii) target and retain customers and suppliers; (iii) attract and retain key employees and qualified personnel; (iv) protect its intellectual property; (v) comply with legal and environmental regulations; (vi) compete in international markets in light of export and import controls; (vii) incur substantially more debt; (viii) remediate the material weakness in the Company’s internal control over financial reporting or otherwise maintain effective internal control over financial reporting, (ix) qualify for the advanced manufacturing production credit under Section 45X of the Internal Revenue Code of 1986, as amended (the “Code”), and (x) our exposure to warranty claims; (2) the Company’s ability to secure a comprehensive financing solution to fund the remaining capital expenditure for Phase 1 of G2_Austin (as defined herein) on favorable terms, or at all, and the timing of such financing; (3) the concentration of the Company’s operations in Texas and its dependence on a limited number of suppliers; (4) changes adversely affecting the flow of components and materials from international vendors, the costs of raw materials, components, equipment, and machinery; (5) general economic and geopolitical conditions, (6) changes in applicable laws or regulations, including environmental, export control and tax laws and incentives and renewable energy targets, as well as international trade policies, including tariffs, on the Company’s products and competitive position; (7) the outcome of any legal proceedings relating to the Company’s products and services, including intellectual property or product liability claims, commercial or contractual disputes, warranty claims, and other proceedings; and (8) the capital-intensive nature of the Company’s business and its ability to raise additional capital on attractive terms or service its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prospectus supplement or the accompanying prospectus, or the documents incorporated by reference herein or therein, and while we believe such information provides a reasonable basis for these statements, and our management is responsible for the accuracy of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and the accompanying prospectus, and the documents incorporated by reference herein and therein, with the understanding that our actual future results, levels of activity, performance and achievements may be materially different from what we expect. All forward-looking statements attributable to us or persons acting on our behalf are expressly qualified in their entirety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prospectus supplement or, in the case of the accompanying prospectus or the documents incorporated by reference herein or therein, the date of any such document. Except as required by applicable law, we do not plan to publicly update or revise any forward-looking statement, whether as a result of any new information,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4" w:name="r_003"/>
      <w:bookmarkEnd w:id="4"/>
      <w:r>
        <w:rPr>
          <w:rFonts w:ascii="Times New Roman;Times;Serif" w:hAnsi="Times New Roman;Times;Serif"/>
          <w:b/>
          <w:i w:val="false"/>
          <w:caps w:val="false"/>
          <w:smallCaps w:val="false"/>
          <w:sz w:val="20"/>
          <w:bdr w:val="single" w:sz="12" w:space="5" w:color="000000"/>
        </w:rPr>
        <w:t>SUMMARY OF THIS PROSPECTUS SUPPLEMENT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appearing elsewhere in this prospectus supplement and the accompanying prospectus. Because it is a summary, it may not contain all of the information that may be important to you. To understand this offering fully, you should read this prospectus supplement and the accompanying prospectus carefully, including the information set forth under the heading “Risk Factors” and our financial statements and related notes included in or incorporated by reference into this prospectus supplement and the accompanying prospectus and the documents to which we refer in the “Incorporation of Certain Documents by Reference” section below.</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Company Overview</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T1 Energy is an energy solutions provider building an integrated U.S. supply chain for solar. We manufacture and sell photovoltaic (“PV”) solar modules in the United States for our U.S. customers.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one of the leading solar manufacturing companies in the United States, primarily selling into the utility-scale market, the largest solar market segment in the U.S. We produce PV solar modules that employ highly energy efficient Passivated Emitter and Rear Contact and Tunnel Oxide Passivated Contact (“TOPCon”) technologies. Our PV solar module manufacturing facility operating in Wilmer, TX (“G1_Dallas”) has a total annual nameplate production capacity of five gigawatts. We believe our facility is one of the most technologically advanced PV solar module plants globally and has achieved annualized run rates above its nameplate capacity. To further expand our U.S. manufacturing footprint, we began construction in December 2025 of the first 2.1-gigawatt phase of our solar cell manufacturing fab in Milam County, Texas (“G2_Austin”). This facility is anticipated to begin production by the first quarter of 2027 of high-efficiency TOPCon solar cells that will be used in the PV solar modules manufactured at G1_Dallas.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Stock Exchange Listing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common stock is currently listed on the NYSE under the symbol “TE.”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mailing address of T1 Energy’s registered and principal executive office is 1211 E 4th St. Austin, Texas 78702. The telephone number of T1 Energy’s registered and principal executive office is 409-599-5706.</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Our investor relations website is located at </w:t>
      </w:r>
      <w:r>
        <w:rPr>
          <w:rFonts w:ascii="Times New Roman;Times;Serif" w:hAnsi="Times New Roman;Times;Serif"/>
          <w:b w:val="false"/>
          <w:i/>
          <w:caps w:val="false"/>
          <w:smallCaps w:val="false"/>
          <w:sz w:val="20"/>
          <w:bdr w:val="single" w:sz="12" w:space="5" w:color="000000"/>
        </w:rPr>
        <w:t>https://ir.t1energy.com/</w:t>
      </w:r>
      <w:r>
        <w:rPr>
          <w:rFonts w:ascii="Times New Roman;Times;Serif" w:hAnsi="Times New Roman;Times;Serif"/>
          <w:b w:val="false"/>
          <w:i w:val="false"/>
          <w:caps w:val="false"/>
          <w:smallCaps w:val="false"/>
          <w:sz w:val="20"/>
          <w:bdr w:val="single" w:sz="12" w:space="5" w:color="000000"/>
        </w:rPr>
        <w:t xml:space="preserve">, and its news site located at </w:t>
      </w:r>
      <w:r>
        <w:rPr>
          <w:rFonts w:ascii="Times New Roman;Times;Serif" w:hAnsi="Times New Roman;Times;Serif"/>
          <w:b w:val="false"/>
          <w:i/>
          <w:caps w:val="false"/>
          <w:smallCaps w:val="false"/>
          <w:sz w:val="20"/>
          <w:bdr w:val="single" w:sz="12" w:space="5" w:color="000000"/>
        </w:rPr>
        <w:t>https://ir.t1energy.com</w:t>
      </w:r>
      <w:r>
        <w:rPr>
          <w:rFonts w:ascii="Times New Roman;Times;Serif" w:hAnsi="Times New Roman;Times;Serif"/>
          <w:b w:val="false"/>
          <w:i w:val="false"/>
          <w:caps w:val="false"/>
          <w:smallCaps w:val="false"/>
          <w:sz w:val="20"/>
          <w:bdr w:val="single" w:sz="12" w:space="5" w:color="000000"/>
        </w:rPr>
        <w:t>/</w:t>
      </w:r>
      <w:r>
        <w:rPr>
          <w:rFonts w:ascii="Times New Roman;Times;Serif" w:hAnsi="Times New Roman;Times;Serif"/>
          <w:b w:val="false"/>
          <w:i/>
          <w:caps w:val="false"/>
          <w:smallCaps w:val="false"/>
          <w:sz w:val="20"/>
          <w:bdr w:val="single" w:sz="12" w:space="5" w:color="000000"/>
        </w:rPr>
        <w:t>news-releases/news-releases</w:t>
      </w:r>
      <w:r>
        <w:rPr>
          <w:rFonts w:ascii="Times New Roman;Times;Serif" w:hAnsi="Times New Roman;Times;Serif"/>
          <w:b w:val="false"/>
          <w:i w:val="false"/>
          <w:caps w:val="false"/>
          <w:smallCaps w:val="false"/>
          <w:sz w:val="20"/>
          <w:bdr w:val="single" w:sz="12" w:space="5" w:color="000000"/>
        </w:rPr>
        <w:t>. Our X (f/k/a Twitter) account is located at https://x.com/T1_Energy, our LinkedIn account is located at https://www.linkedin.com/company/t1energy, and our Instagram account is located at https://www.instagram.com/t1_energy/. We use our investor relations website, our X account and our LinkedIn account as well as Daniel Barcelo’s X account (https://x.com/_danielbarcelo), LinkedIn account (https://www.linkedin.com/in/daniel-barcelo-b262a939/) and Instagram account (https://www.instagram.com/danbarcelo/)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our X account and our LinkedIn account, in addition to following press releases, SEC filings and public conference calls and webcasts. Our website, X account and our LinkedIn account and the information contained on each, or that can be accessed through each, is not deemed to be incorporated by reference in, and is not considered part of, this prospectus supplement or the accompanying prospectus, and you should not consider it a part of this prospectus supplement or the accompanying prospectus. We also make available, free of charge, on our investor relations website under “Financials—SEC Filings,” our Annual Reports on Form 10-K, Quarterly Reports on Form 10-Q, Current Reports on Form 8-K and amendments to these reports as soon as reasonably practicable after electronically filing or furnishing those reports to the SEC.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r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common stock involves significant risks. Prior to making a decision about investing in our common stock, and in consultation with your own financial and legal advisors, you should carefully consider, among other matters, the following risk factors, as well as those incorporated by reference in this prospectus supplement from our most recent Annual Report on Form 10-K, as revised or supplemented by our subsequent Quarterly Reports on Form 10-Q, under the headings “Risk Factors” and “Management’s Discussion and Analysis of Financial Condition and Results of Operations” and other filings we may make from time to time with the SEC. The risks described below are not the only ones facing our company. Additional risks not presently known to us or that we currently consider less significant may also impair our business operations. Our business, financial condition, or results of operations could be materially adversely affected by any of these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supplement also contains or incorporates by reference forward-looking statements that involve risks and uncertainties. Our actual results could differ materially from those anticipated in such forward-looking statements as a result of certain factors, including the risks faced by us described below and elsewhere in this prospectus supplement. See “Cautionary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ownership among our executive officers, directors, and their affiliates may prevent new investors from influencing significant corporate decisions.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and their affiliates own shares of our common stock as well as other securities convertible into or exchangeable for shares of our common stock, outstanding options and/or may have certain contractual anti-dilution rights, as applicable, which in each case, may allow them to acquire additional shares of our common stock. As a result, these stockholders as a group could exercise a level of control over matters requiring stockholder approval, including the election of directors, amendment of our Certificate of Incorporation (as defined herein), and approval of significant corporate transactions. This control could have the effect of delaying or preventing a change of control or changes in management and will make the approval of certain transactions more difficult without the support of these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is likely to be highly volatile, and you may lose some or all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likely to be highly volatile and may be subject to wide fluctuations in response to a variety of factors,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inability to maintain the listing of our shares of common stock on NYSE;</w:t>
            </w:r>
          </w:p>
        </w:tc>
      </w:tr>
    </w:tbl>
    <w:p>
      <w:pPr>
        <w:pStyle w:val="TextBody"/>
        <w:bidi w:val="0"/>
        <w:spacing w:before="0" w:after="0"/>
        <w:ind w:left="1080" w:right="0" w:hanging="36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170"/>
        <w:gridCol w:w="3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applicable laws or regulations;</w:t>
            </w:r>
          </w:p>
        </w:tc>
      </w:tr>
    </w:tbl>
    <w:p>
      <w:pPr>
        <w:pStyle w:val="TextBody"/>
        <w:bidi w:val="0"/>
        <w:spacing w:before="0" w:after="0"/>
        <w:ind w:left="1080" w:right="0" w:hanging="36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relating to the uncertainty of our projected financial information; and</w:t>
            </w:r>
          </w:p>
        </w:tc>
      </w:tr>
    </w:tbl>
    <w:p>
      <w:pPr>
        <w:pStyle w:val="TextBody"/>
        <w:bidi w:val="0"/>
        <w:spacing w:before="0" w:after="0"/>
        <w:ind w:left="1080" w:right="0" w:hanging="36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170"/>
        <w:gridCol w:w="9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the organic and inorganic growth of our business and the timing of expected business milestones.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factors, as well as general economic, political, regulatory and market conditions, may negatively affect the market price of our common stock, regardless of our actual operating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our share price and trading volume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securities or industry analysts publish about us. If securities or industry analysts initiate coverage and one or more of the analysts who cover us downgrade our common stock or publish inaccurate or unfavorable research about our company, our common stock share price would likely decline. If analysts publish target prices for our common stock that are below the historical sales prices for shares of our common stock on a securities exchange or the then-current public price of our common stock, it could cause our stock price to decline significantly. Further, if one or more of these analysts cease coverage of us or fail to publish reports on us regularly, demand for our common stock could decrease, which might cause our common stock price and trading volume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offerings of debt, which would be senior to our common stock upon liquidation, and/or preferred equity securities, which may be senior to our common stock for purposes of dividend distributions or upon liquidation, may adversely affect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attempt to increase our capital resources by making offerings of debt or additional preferred equity securities, including senior or subordinated notes and entering into new loan agreements. Upon liquidation, holders of our debt securities and preferred stock and lenders with respect to other borrowings will receive distributions of our available assets prior to the holders of our common stock. Additional equity and equity-linked offerings may dilute the holdings of our existing stockholders or reduce the market price of our common stock, or both. Except as otherwise disclosed in SEC filings, holders of our common stock are not entitled to preemptive rights or other protections against dilution. Because our decision to issue securities in any future offering and to enter into new loan agreements will depend on market conditions and other factors, many of which are beyond our control, we cannot predict or estimate the amount, timing or nature of our future offerings or borrowings. Thus, our stockholders bear the risk of our future offerings or loan arrangements reducing the market price of our common stock, reducing our assets available to them upon our liquidation and diluting their shareholdings in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and sales of our common stock or equity-linked securities in the public market and/or in connection with the acquisition of businesses or assets could lower the trading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sell additional shares of our common stock or equity-linked securities to raise capital and/or may issue such securities in connection with the acquisition of businesses or assets. In addition, a substantial number of shares of our common stock is, or will be, reserved for issuance upon the exercise of stock options and the vesting of restricted stock units pursuant to our equity incentive plans, upon conversion of our preferred stock and upon conversion of our outstanding 5.25% Convertible Senior Notes due 2030, 4.00% Convertible Senior Notes due 2031 and 4.75% Convertible Senior Notes due 2031. We cannot predict the size of future issuances or the effect, if any, that they may have on the market price for our common stock. The issuance and sale of substantial amounts of common stock or equity-linked securities, or the perception that such issuances and sales may occur, could adversely affect the market price of our common stock and impair our ability to raise capital through the sale of additional equity or equity-linked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expected to be sold in this offering will be freely tradable without restriction or further registration under the Securities Act, unless held by our “affiliates” as defined in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anticipate paying any cash dividends in the foreseeable future, capital appreciation, if any, would be your sole source of gain.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capital-intensive nature of our business, we do not currently anticipate declaring any cash dividends to holders of our common stock in the foreseeable future. As a result, capital appreciation, if any, of our shares of common stock would be your sole source of gain on an investment in such shares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r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Securities offered by the Selling Securityholders pursuant to this prospectus supplement will be sold by the Selling Securityholders for their respective accounts. We cannot currently determine the price or prices at which such Securities may be sold by the Selling Securityholders. We will not receive any of the proceeds from these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selling commissions and stock transfer taxes applicable to the Securities that they incur in disposing of the Securities offered by this prospectus supplement. We will bear all other costs, fees and expenses incurred in effecting the registration of the Securities covered by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r_006"/>
      <w:bookmarkEnd w:id="7"/>
      <w:r>
        <w:rPr>
          <w:rFonts w:ascii="Times New Roman;Times;Serif" w:hAnsi="Times New Roman;Times;Serif"/>
          <w:b/>
          <w:i w:val="false"/>
          <w:caps w:val="false"/>
          <w:smallCaps w:val="false"/>
          <w:sz w:val="20"/>
        </w:rPr>
        <w:t>DESCRIPTION OF SECURITIES BEING REGISTERED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the Company’s common stock and is not intended to be a complete summary of the rights and preferences of our common stock. The Company’s Amended and Restated Certificate of Incorporation, as amended (the “Certificate of Incorporation”), and Third Amended Restated Bylaws (the “Bylaws”) are incorporated by reference into this prospectus supplement. Read the applicable provisions of Delaware law, the Certificate of Incorporation and the Bylaws in their entirety for a complete description of the rights and preferences of the Company’s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T1 Energy’s authorized capital stock consists of (i) 1,000,000,000 shares of common stock, par value $0.01 per share, and (ii) 10,000,000 shares of preferred stock, par value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prior dividend rights of the holders of any preferred stock of T1 Energy and any other class or series of shares having a preference as to dividends over common stock, holders of shares of common stock are entitled to receive dividends when, as and if declared by the T1 Energy board of directors, out of funds legally available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Each outstanding share of common stock is entitled to one vote per share on each matter to be voted on by the holders of common stock. The holders of common stock are not entitled to cumulative voting of their shares in elections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Rights.</w:t>
      </w:r>
      <w:r>
        <w:rPr>
          <w:rFonts w:ascii="Times New Roman;Times;Serif" w:hAnsi="Times New Roman;Times;Serif"/>
          <w:b w:val="false"/>
          <w:i w:val="false"/>
          <w:caps w:val="false"/>
          <w:smallCaps w:val="false"/>
          <w:sz w:val="20"/>
        </w:rPr>
        <w:t xml:space="preserve"> In the event of any liquidation, dissolution or winding up (either voluntary of involuntary) of T1 Energy, the holders of common stock will be entitled to receive the assets and funds of T1 Energy available for distribution in proportion to the number of shares held by them, respectively, without regard to class, after payments to creditors and subject to any related preferential rights of any holders of any preferred stock of T1 Energy that at the time may be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common stock is currently listed on the NYSE under the symbol “TE.”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7701(a)(51)(E)(iii) of the Code, an entity that is a publicly traded company or a subsidiary of a publicly traded company is a foreign-influenced entity if, during the taxable year, one or more Specified Foreign Entities (as defined herein) that are each required to report their beneficial ownership under Rule 13d-3 of the Exchange Act own, in the aggregate, not less than 40% of such entity (the “Aggregated Equity 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T1 Energy’s Certificate of Incorporation was amended to establish a restriction of ownership of T1 Energy’s capital stock by Specified Foreign Entities in order to ensure ongoing compliance with the Aggregated Equity Test. Under T1 Energy’s Certificate of Incorporation (as so amended), Specified Foreign Entities are not permitted to hold 4.9% or more of the outstanding shares representing T1 Energy’s common stock or preferred stock, unless permitted by T1 Energy’s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T1 Energy is authorized to effect any and all measures and to make any and all determinations reasonably necessary or desirable (consistent with applicable laws, the Certificate of Incorporation and the Bylaws) to, without limitation:</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owner(s) of shares of T1 Energy’s common stock or preferred stock to confirm and/or provide evidence that he, she or it is not a Specified Foreign Entity and suspend voting, dividend and other distribution rights with respect to any shares held by such owner(s) until such confirmation and/or evidence is received;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the share transfer records of T1 Energy in such a manner so that the percentage of any class of shares of T1 Energy’s common stock or preferred stock that is owned by Specified Foreign Entities can be determined and confirmed;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 as a condition precedent to the transfer on the records of T1 Energy, representations, citizenship certificates and/or other evidence as to the identity and citizenship status from all transferees (and from any recipient upon original issuance) of any shares and, if such transferee (or recipient) is acting as a fiduciary or nominee for another owner, such other owner, and the registration of transfer (or original issuance) shall be denied upon refusal of such transferee (or recipient) to make such representations and/or furnish such citizenship certificates or other evidence.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 of T1 Energy’s common stock or preferred stock that does not comply with the Certificate of Incorporation will be void and ineffective as against T1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supplement, “Specified Foreign Entity” or “Specified Foreign Entities” means a specified foreign entity, as defined in Section 7701(a)(51)(B) of the Code and any guidance published thereunder (including, for the avoidance of doubt, any foreign-controlled entity, as defined in Section 7701(a)(51)(C) of the Code and any guidance published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T1 Energy’s governing documents and the Delaware General Corporation Law (the “DGCL”) could have the effect of delaying, deferring or discouraging another party from acquiring T1 Energy. These provisions encourage persons considering unsolicited tender offers or other unilateral takeover proposals to negotiate with the T1 Energy board of directors rather than pursue non-negotiated takeover attempts. These provisions include the below summarized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DGCL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will be subject to the provisions of Section 203 of the DGCL (“Section 203”). In general, Section 203 prohibits a publicly held Delaware corporation from engaging in a “business combination” with an “interested stockholder” for a period of three years following the date of the transaction in which such person becomes an interested stockholder,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such time the board of directors of the corporation approved either the business combination or the transaction which resulted in the stockholder becoming an interested stockholder;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consummation of the transaction which resulted in the stockholder becoming an interested stockholder, the interested stockholder owned at least 85% of the voting share of the corporation outstanding at the time the transaction commenced, excluding for purposes of determining the voting shares outstanding (but not the outstanding voting shares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or subsequent to such time the business combination is approved by the board of directors and authorized at an annual or special meeting of stockholders, and not by written consent, by the affirmative vote of at least 66 2/3% of the outstanding voting shares which is not owned by the interested stockholder.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shares of T1 Energy and any entity or person affiliated with or controlling or controlled by the entity or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Composition and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any director or the entire board of directors may be removed from office at any time, but only by the affirmative vote of the holders of at least a majority in voting power of the issued and outstanding capital stock of T1 Energy entitled to vote in the election of directors. Any director serving on a committee of the board may be removed from such committee at any time by the board of directors. T1 Energy’s board of directors has the power to fix the number of directors by resolution, subject to the requirements of T1 Energy’s governing documents that the T1 Energy board of directors be not fewer than five nor more than 12. Vacancies on the board or any committee resulting from the death, resignation, retirement, disqualification or removal of a director, or from an increase in the number of directors constituting the board or such committee, may be filled only by a majority of the directors then in office, even though less than a quorum, or by a sole remaining director, and the directors chosen in this manner, in the case of the board of directors, will hold office until the next annual election and until a successor is duly elected and qualified, or until his earlier death, resignation, retirement, disqualification or removal and, in the case of any committee of the board, will hold office until a successor is duly appointed by the board of directors or until his earlier death, resignation, retirement, disqualification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in order for a stockholder to propose business at an annual meeting of stockholders, a stockholder’s notice must be delivered to the secretary at the principal executive offices of T1 Energy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further provide that in order for a stockholder to make a nomination at an annual meeting of stockholders, a stockholder’s notice must be delivered to the secretary at the principal executive offices of T1 Energy (i) in the case of an annual meeting of stockholders,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 and (ii) in the case of a special meeting of stockholders called for the purpose of electing directors, not later than the close of business on the 10th day following the day on which notice of the date of the special meeting of stockholders was mailed or public disclosure of the date of the special meeting of stockholders was made, whichever first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Stockholder Action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Certificate of Incorporation provides that any action required or permitted to be taken by the stockholders of T1 Energy must be effected at a duly called annual or special meeting of stockholders of T1 Energy, and the ability of the stockholders to consent in writing to the taking of any action is specifically denied.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special meetings of stockholders, for any purpose or purposes, may be called only by (i) the board of directors, (ii) the chair of the board of directors, if there be one, or (iii) a stockholder, or group of stockholders holding more than 20% of the total voting power of the outstanding shares of the capital stock of T1 Energy issued and outstanding and entitled to vote on the matter for which such special meeting of stockholders is called if such stockholder, or group of stockholders, have dated, signed and delivered to the secretary a written demand for such special meeting of stockholders at least 90 days prior to the proposed date for such special meeting of stockholders, describing each matter of business desired to be brought before the special meeting of stockholders, the reasons for conducting such business, the text of any proposal or business to be considered, and the information required by the notice provisions and of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Stockholders’ Derivative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share thereafter devolved by operation of law. Unless T1 Energy consents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T1 Energy common stock and preferred stock will be available for future issuance without any further vote or action T1 Energy stockholders. These additional shares may be utilized for a variety of corporate purposes, including future public offerings to raise additional capital, corporate acquisitions and employee benefit plans. The existence of authorized but unissued shares of T1 Energy common stock and preferred stock could render more difficult or discourage an attempt to obtain control over T1 Energy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Approval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shares entitled to vote thereon is required to amend a corporation’s certificate of incorporation, unless the corporation’s certificate of incorporation or bylaws requires a greater percentage. The DGCL does not specify a required vote for stockholder to amend a corporation’s bylaws and, therefore, the default voting standard set forth in a corporation’s bylaws will apply to votes to amend the bylaws unless the certificate of incorporation or bylaws provide otherwise. In addition, the DGCL provides that a board of directors may amend the bylaws without further stockholder action if authorized to do so by the corporation’s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Certificate of Incorporation provides that the affirmative vote of at least a majority of the entire board of directors or the affirmative vote of holders of at least two thirds of the voting power of the shares entitled to vote at an election of directors will be required to adopt, amend, alter, or repeal the bylaws. In addition, T1 Energy’s Certificate of Incorporation provides that the affirmative vote of the holders of at least two thirds of the voting power of the shares entitled to vote at an election of directors will be required to amend, alter, change or repeal, or to adopt any provision as part of the Certificate of Incorporation inconsistent with the purpose and intent of certain provisions of the Certificate of Incorporation, including those governing the limitation of liability of directors, indemnification of directors and officers, stockholders’ action by written consent, the amendment of T1 Energy’s Bylaws by the board of directors, and the required stockholder vote for the amendment of the foregoing provisions. This requirement of a supermajority vote to approve amendments to our bylaws and certificate of incorporation could enable a minority of our stockholders to exercise veto power over any such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have the effect of deterring hostile takeovers or delaying or preventing changes in control of T1 Energy or its management, such as a merger, reorganization or tender offer. These provisions are intended to enhance the likelihood of continued stability in the composition of the board of directors and its policies and to discourage certain types of transactions that may involve an actual or threatened acquisition of T1 Energy. These provisions are designed to reduce T1 Energy’s vulnerability to an unsolicited acquisition proposal. The provisions are also intended to discourage certain tactics that may be used in proxy fights. However, such provisions could have the effect of discouraging others from making tender offers for T1 Energy’s shares and, as a consequence, they also may inhibit fluctuations in the market price of common stock that could result from actual or rumored takeover attempts. Such provisions may also have the effect of preventing changes in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of Personal Liability of Directors/Officers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to the full extent permitted by the DGCL, will limit or eliminate the liability of T1 Energy directors made a party to any proceeding to T1 Energy or its stockholders for monetary damages for breach of fiduciary duty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no such elimination of liability is permitted (i) for any breach of the director’s duty of loyalty to T1 Energy or its stockholders, (ii) for acts or omissions not in good faith or which involve intentional misconduct or a knowing violation of law, (iii) for unlawful payment of dividend or unlawful share purchase or redemption or (iv) for any transaction from which the director derived an improper personal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Forum Selection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Certificate of Incorporation and Bylaws provide that unless T1 Energy consents in writing to the selection of an alternative forum (an “Alternative Forum Consent”), the Court of Chancery of the State of Delaware will be the sole and exclusive forum for (i) any derivative action or proceeding brought on behalf of T1 Energy, (ii) any action asserting a claim of breach of a duty (including any fiduciary duty) owed by any current or former director, officer, stockholder, employee or agent of T1 Energy to T1 Energy or T1 Energy’s stockholders, (iii) any action asserting a claim against T1 Energy or any current or former director, officer, stockholder, employee or agent of T1 Energy arising out of or relating to any provision of the DGCL, the T1 Energy Certificate of Incorporation or Bylaws (each, as in effect from time to time), or (iv) any action asserting a claim against T1 Energy or any current or former director, officer, stockholder, employee or agent of T1 Energy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will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T1 Energy gives an Alternative Forum Consent, the federal district courts of the United States of America will, to the fullest extent permitted by law, be the sole and exclusive forum for the resolution of any complaint asserting a cause of action arising under the Securities Act and the Exchange Act. Any person or entity purchasing, otherwise acquiring or holding any interest in shares of capital stock of T1 Energy will be deemed to have notice of and consented to these forum selection provisions. The existence of any prior Alternative Forum Consent will not act as a waiver of T1 Energy’s ongoing consent right with respect to any current or future actions or claims. Our stockholders will not be deemed to have waived our compliance with the federal securities laws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Section 27 of the Exchange Act creates exclusive federal jurisdiction over all claims brought to enforce any duty or liability created by the Exchange Act or the rules and regulations thereunder and T1 Energy’s Bylaws provide that the federal district courts of the United States of America will, to the fullest extent permitted by law, be the sole and exclusive forum for resolving any complaint asserting a cause of action arising under the Exchange Act. Accordingly, actions by our stockholders to enforce any duty or liability created by the Exchange Act or the rules and regulations thereunder must be brought in federal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the forum selection clause in T1 Energy’s Certificate of Incorporation and Bylaws may impose additional litigation costs on stockholders in pursuing any such claims, particularly if the stockholders do not reside in or near the State of Delaware. Additionally, the forum selection clause in T1 Energy’s Certificate of Incorporation and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to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common stock is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r_007"/>
      <w:bookmarkEnd w:id="8"/>
      <w:r>
        <w:rPr>
          <w:rFonts w:ascii="Times New Roman;Times;Serif" w:hAnsi="Times New Roman;Times;Serif"/>
          <w:b/>
          <w:i w:val="false"/>
          <w:caps w:val="false"/>
          <w:smallCaps w:val="false"/>
          <w:sz w:val="20"/>
        </w:rPr>
        <w:t>SELLING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offered by the Selling Securityholders on their behalf pursuant to the terms of the IP Purchase Agreement. When we refer to the “Selling Securityholders” in this prospectus supplement, we mean the person(s) listed in the table below (as such table may be amended from time to time by means of a prospectus supplement or a post-effective amendment to the registration statement of which this prospectus supplement forms a part), and any pledgees, donees, transferees, assignees, successors, designees and other permitted transferees who later come to hold any of the Selling Securityholders’ interest in the common stock set forth below other than through a public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offer and sell pursuant to this prospectus supplement any or all of the shares of common stock issued to them. The table below sets forth the number of shares of common stock that the Selling Securityholders may offer and sell pursuant to this prospectus supplement, as well as such Selling Securityholder’s beneficial ownership of our common stock prior to and following the sale of Securities covered by this prospectus supplement (assuming all such Securities are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below is based primarily on information provided by or on behalf of the Selling Securityholders prior to the date hereof, including such Selling Securityholder’s beneficial ownership of our common stock. From and after the date on which such information was provided, a Selling Securityholder may have sold, transferred or otherwise disposed of, and may in the future sell, transfer or otherwise dispose of, some or all of the common stock indicated below in transactions exempt from the registration requirements of the Securities Act rather than under this prospectus supplement. In addition, because no Selling Securityholder is obligated to sell the Securities offered hereby, we cannot advise you as to whether or when a Selling Securityholder will in fact sell any or all of such common stock, or the amount of shares, if any, a Selling Securityholder will beneficially own upon consummation of any such sale. For purposes of the table below, we have assumed that the Selling Securityholders will not acquire beneficial ownership of any additional securities of ours during the offering and will have sold all of the Securities covered by this prospectus supplement upon the completion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and the information is not necessarily indicative of beneficial ownership for any other purpose. Unless otherwise indicated below, to our knowledge, the persons and entities named in the table and accompanying footnotes have or will have sole voting and sole investment power with respect to all securities of ours that they beneficially own, subject to community property laws where applicable. Except as otherwise described below, based on the information provided to us by the Selling Securityholders, no Selling Securityholder is a broker-dealer or an affiliate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for each additional Selling Securityholder, if any, will be set forth by this prospectus supplement to the extent required prior to the time of any offer or sale by such Selling Securityholder of the Securities pursuant to this prospectus supplement. Any prospectus supplement may add, update, substitute or change the information contained in this prospectus supplement, including the identity of a Selling Securityholder and the number of shares registered on its, his, her or their behalf. A Selling Securityholder may sell or otherwise transfer all, some or none of such shares in this offering. See “Plan of Distribution.”</w:t>
      </w:r>
    </w:p>
    <w:p>
      <w:pPr>
        <w:pStyle w:val="TextBody"/>
        <w:bidi w:val="0"/>
        <w:spacing w:before="0" w:after="0"/>
        <w:ind w:left="0" w:right="0" w:firstLine="720"/>
        <w:jc w:val="both"/>
        <w:rPr>
          <w:caps w:val="false"/>
          <w:smallCaps w:val="false"/>
        </w:rPr>
      </w:pPr>
      <w:r>
        <w:rPr>
          <w:caps w:val="false"/>
          <w:smallCaps w:val="false"/>
        </w:rPr>
        <w:t> </w:t>
      </w:r>
    </w:p>
    <w:tbl>
      <w:tblPr>
        <w:tblW w:w="9959" w:type="dxa"/>
        <w:jc w:val="left"/>
        <w:tblInd w:w="0" w:type="dxa"/>
        <w:tblLayout w:type="fixed"/>
        <w:tblCellMar>
          <w:top w:w="0" w:type="dxa"/>
          <w:left w:w="0" w:type="dxa"/>
          <w:bottom w:w="0" w:type="dxa"/>
          <w:right w:w="0" w:type="dxa"/>
        </w:tblCellMar>
      </w:tblPr>
      <w:tblGrid>
        <w:gridCol w:w="4175"/>
        <w:gridCol w:w="60"/>
        <w:gridCol w:w="81"/>
        <w:gridCol w:w="1513"/>
        <w:gridCol w:w="60"/>
        <w:gridCol w:w="60"/>
        <w:gridCol w:w="82"/>
        <w:gridCol w:w="1512"/>
        <w:gridCol w:w="60"/>
        <w:gridCol w:w="60"/>
        <w:gridCol w:w="163"/>
        <w:gridCol w:w="712"/>
        <w:gridCol w:w="161"/>
        <w:gridCol w:w="161"/>
        <w:gridCol w:w="191"/>
        <w:gridCol w:w="833"/>
        <w:gridCol w:w="75"/>
      </w:tblGrid>
      <w:tr>
        <w:trPr/>
        <w:tc>
          <w:tcPr>
            <w:tcW w:w="4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1594" w:type="dxa"/>
            <w:gridSpan w:val="2"/>
            <w:tcBorders/>
            <w:vAlign w:val="center"/>
          </w:tcPr>
          <w:p>
            <w:pPr>
              <w:pStyle w:val="TableContents"/>
              <w:bidi w:val="0"/>
              <w:spacing w:before="0" w:after="283"/>
              <w:jc w:val="center"/>
              <w:rPr>
                <w:b/>
              </w:rPr>
            </w:pPr>
            <w:r>
              <w:rPr>
                <w:b/>
              </w:rPr>
              <w:t>Number of</w:t>
              <w:br/>
              <w:t>Shares of</w:t>
              <w:br/>
              <w:t>Common Stock</w:t>
              <w:br/>
              <w:t>Beneficially</w:t>
              <w:br/>
              <w:t>Owned</w:t>
              <w:br/>
              <w:t xml:space="preserve">Prior to the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4" w:type="dxa"/>
            <w:gridSpan w:val="2"/>
            <w:tcBorders/>
            <w:vAlign w:val="center"/>
          </w:tcPr>
          <w:p>
            <w:pPr>
              <w:pStyle w:val="TableContents"/>
              <w:bidi w:val="0"/>
              <w:spacing w:before="0" w:after="283"/>
              <w:jc w:val="center"/>
              <w:rPr>
                <w:b/>
              </w:rPr>
            </w:pPr>
            <w:r>
              <w:rPr>
                <w:b/>
              </w:rPr>
              <w:t>Number of</w:t>
              <w:br/>
              <w:t>Shares of</w:t>
              <w:br/>
              <w:t>Common Stock</w:t>
              <w:br/>
              <w:t xml:space="preserve">Offered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2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Common Stock </w:t>
              <w:br/>
              <w:t xml:space="preserve">Beneficially Owned </w:t>
              <w:br/>
              <w:t xml:space="preserve">After Completion </w:t>
              <w:br/>
              <w:t>of this Offering</w:t>
            </w:r>
          </w:p>
        </w:tc>
        <w:tc>
          <w:tcPr>
            <w:tcW w:w="75" w:type="dxa"/>
            <w:tcBorders/>
            <w:vAlign w:val="center"/>
          </w:tcPr>
          <w:p>
            <w:pPr>
              <w:pStyle w:val="TableContents"/>
              <w:bidi w:val="0"/>
              <w:spacing w:before="0" w:after="283"/>
              <w:jc w:val="center"/>
              <w:rPr/>
            </w:pPr>
            <w:r>
              <w:rPr/>
              <w:t> </w:t>
            </w:r>
          </w:p>
        </w:tc>
      </w:tr>
      <w:tr>
        <w:trPr/>
        <w:tc>
          <w:tcPr>
            <w:tcW w:w="4175"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p>
        </w:tc>
        <w:tc>
          <w:tcPr>
            <w:tcW w:w="60" w:type="dxa"/>
            <w:tcBorders/>
            <w:vAlign w:val="center"/>
          </w:tcPr>
          <w:p>
            <w:pPr>
              <w:pStyle w:val="TableContents"/>
              <w:bidi w:val="0"/>
              <w:spacing w:before="0" w:after="283"/>
              <w:jc w:val="center"/>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16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r>
              <w:rPr>
                <w:rFonts w:ascii="Times New Roman;Times;Serif" w:hAnsi="Times New Roman;Times;Serif"/>
                <w:b/>
                <w:position w:val="8"/>
                <w:sz w:val="19"/>
              </w:rPr>
              <w:t>(1)</w:t>
            </w:r>
          </w:p>
        </w:tc>
        <w:tc>
          <w:tcPr>
            <w:tcW w:w="75" w:type="dxa"/>
            <w:tcBorders/>
            <w:vAlign w:val="center"/>
          </w:tcPr>
          <w:p>
            <w:pPr>
              <w:pStyle w:val="TableContents"/>
              <w:bidi w:val="0"/>
              <w:spacing w:before="0" w:after="283"/>
              <w:jc w:val="center"/>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Evervolt Green Energy Holding Pte, Ltd.</w:t>
            </w:r>
            <w:r>
              <w:rPr>
                <w:rFonts w:ascii="Times New Roman;Times;Serif" w:hAnsi="Times New Roman;Times;Serif"/>
                <w:position w:val="8"/>
                <w:sz w:val="19"/>
              </w:rPr>
              <w:t>(2)</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13,615,979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2" w:type="dxa"/>
            <w:tcBorders/>
            <w:shd w:fill="CCEEFF" w:val="clear"/>
            <w:vAlign w:val="center"/>
          </w:tcPr>
          <w:p>
            <w:pPr>
              <w:pStyle w:val="TableContents"/>
              <w:bidi w:val="0"/>
              <w:spacing w:before="0" w:after="283"/>
              <w:jc w:val="right"/>
              <w:rPr/>
            </w:pPr>
            <w:r>
              <w:rPr/>
              <w:t>13,615,979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beneficial ownership before this offering is calculated based on 294,527,066 shares of common stock outstanding as of August 6, 2026. Unless otherwise indicated, we believe that all persons named in the table have sole voting and investment power with respect to all shares beneficially owned by them.</w:t>
            </w:r>
          </w:p>
        </w:tc>
      </w:tr>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securities are beneficially held by Evervolt Green Energy Holding Pte, Ltd. whose address is 18, Boon Lay Way, #06-107, Trade Hub 21, Singapore 609966. Tan Chin Piaw is the ultimate beneficial owner of and has voting and investment control over securities beneficially held by Evervolt Green Energy Holding Pte,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r_008"/>
      <w:bookmarkEnd w:id="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by the Selling Securityholders up to 13,615,979 shares of common stock to permit the Selling Securityholders to conduct public secondary trading of these securities from time to time after the date of this prospectus supplement. The Selling Securityholders may offer, sell, transfer, distribute, or otherwise dispose of all or a portion of the Securities publicly or through private transactions at fixed prices, prevailing market prices or at negotiated prices, or at market prices prevailing at the time of sale. We will not receive any of the proceeds of the sale of the Securities offered by the Selling Securityholders. The aggregate proceeds to the Selling Securityholders from the sale of the Securities will be the purchase price of the Securities less any discounts and commissions. We are paying certain expenses (other than commissions and discounts of underwriters, brokers, dealers or agents) incidental to the offering and sale of the Securities covered by this prospectus supplement by the Selling Securityholders to the public. The Selling Securityholders reserve the right to accept and, together with their respective agents, to reject, any proposed purchases of Securities to be made directly or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by the Selling Securityholders may be sold from time to time to purchasers:</w:t>
      </w:r>
    </w:p>
    <w:p>
      <w:pPr>
        <w:pStyle w:val="TextBody"/>
        <w:bidi w:val="0"/>
        <w:spacing w:before="0" w:after="0"/>
        <w:ind w:left="0" w:right="0" w:firstLine="72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7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directly by the Selling Securityholders,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underwriters, broker-dealers or agents, who may receive compensation in the form of discounts, commissions or agent’s commissions from the Selling Securityholders or the purchasers of the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broker-dealers or agents who participate in the sale or distribution of the Securities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supplement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securities by the Selling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in one or more transactions at:</w:t>
      </w:r>
    </w:p>
    <w:p>
      <w:pPr>
        <w:pStyle w:val="TextBody"/>
        <w:bidi w:val="0"/>
        <w:spacing w:before="0" w:after="0"/>
        <w:ind w:left="0" w:right="0" w:firstLine="720"/>
        <w:jc w:val="both"/>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38"/>
        <w:gridCol w:w="17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fixed prices;</w:t>
            </w:r>
          </w:p>
        </w:tc>
      </w:tr>
    </w:tbl>
    <w:p>
      <w:pPr>
        <w:pStyle w:val="TextBody"/>
        <w:bidi w:val="0"/>
        <w:spacing w:before="0" w:after="283"/>
        <w:jc w:val="left"/>
        <w:rPr/>
      </w:pPr>
      <w:r>
        <w:rPr/>
        <w:t> </w:t>
      </w:r>
    </w:p>
    <w:tbl>
      <w:tblPr>
        <w:tblW w:w="4278" w:type="dxa"/>
        <w:jc w:val="left"/>
        <w:tblInd w:w="0" w:type="dxa"/>
        <w:tblLayout w:type="fixed"/>
        <w:tblCellMar>
          <w:top w:w="0" w:type="dxa"/>
          <w:left w:w="0" w:type="dxa"/>
          <w:bottom w:w="0" w:type="dxa"/>
          <w:right w:w="0" w:type="dxa"/>
        </w:tblCellMar>
      </w:tblPr>
      <w:tblGrid>
        <w:gridCol w:w="38"/>
        <w:gridCol w:w="17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prevailing market prices at the time of sale;</w:t>
            </w:r>
          </w:p>
        </w:tc>
      </w:tr>
    </w:tbl>
    <w:p>
      <w:pPr>
        <w:pStyle w:val="TextBody"/>
        <w:bidi w:val="0"/>
        <w:spacing w:before="0" w:after="283"/>
        <w:jc w:val="left"/>
        <w:rPr/>
      </w:pPr>
      <w:r>
        <w:rPr/>
        <w:t> </w:t>
      </w:r>
    </w:p>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prices related to such prevailing market prices;</w:t>
            </w:r>
          </w:p>
        </w:tc>
      </w:tr>
    </w:tbl>
    <w:p>
      <w:pPr>
        <w:pStyle w:val="TextBody"/>
        <w:bidi w:val="0"/>
        <w:spacing w:before="0" w:after="283"/>
        <w:jc w:val="left"/>
        <w:rPr/>
      </w:pPr>
      <w:r>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varying prices determined at the time of sale; or</w:t>
            </w:r>
          </w:p>
        </w:tc>
      </w:tr>
    </w:tbl>
    <w:p>
      <w:pPr>
        <w:pStyle w:val="TextBody"/>
        <w:bidi w:val="0"/>
        <w:spacing w:before="0" w:after="283"/>
        <w:jc w:val="left"/>
        <w:rPr/>
      </w:pPr>
      <w:r>
        <w:rPr/>
        <w:t> </w:t>
      </w:r>
    </w:p>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negotiated prices.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sales may be effected in one or more transactions, subject to the terms of the IP Purchase Agreement: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any national securities exchange or quotation service on which the securities may be listed or quoted at the time of sale, including NYSE;</w:t>
            </w:r>
          </w:p>
        </w:tc>
      </w:tr>
    </w:tbl>
    <w:p>
      <w:pPr>
        <w:pStyle w:val="TextBody"/>
        <w:bidi w:val="0"/>
        <w:spacing w:before="0" w:after="283"/>
        <w:jc w:val="left"/>
        <w:rPr/>
      </w:pPr>
      <w:r>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over-the-counter market;</w:t>
            </w:r>
          </w:p>
        </w:tc>
      </w:tr>
    </w:tbl>
    <w:p>
      <w:pPr>
        <w:pStyle w:val="TextBody"/>
        <w:bidi w:val="0"/>
        <w:spacing w:before="0" w:after="283"/>
        <w:jc w:val="left"/>
        <w:rPr/>
      </w:pPr>
      <w:r>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otherwise than on such exchanges or services or in the over-the-counter market;</w:t>
            </w:r>
          </w:p>
        </w:tc>
      </w:tr>
    </w:tbl>
    <w:p>
      <w:pPr>
        <w:pStyle w:val="TextBody"/>
        <w:bidi w:val="0"/>
        <w:spacing w:before="0" w:after="283"/>
        <w:jc w:val="left"/>
        <w:rPr/>
      </w:pPr>
      <w:r>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bl>
    <w:p>
      <w:pPr>
        <w:pStyle w:val="TextBody"/>
        <w:bidi w:val="0"/>
        <w:spacing w:before="0" w:after="283"/>
        <w:jc w:val="left"/>
        <w:rPr/>
      </w:pPr>
      <w:r>
        <w:rPr/>
        <w:t> </w:t>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one or more underwritten offerings;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common stock as agent, but may position and resell a portion of the block as principal to facilitate the transaction;</w:t>
            </w:r>
          </w:p>
        </w:tc>
      </w:tr>
    </w:tbl>
    <w:p>
      <w:pPr>
        <w:pStyle w:val="TextBody"/>
        <w:bidi w:val="0"/>
        <w:spacing w:before="0" w:after="283"/>
        <w:jc w:val="left"/>
        <w:rPr/>
      </w:pPr>
      <w:r>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accounts;</w:t>
            </w:r>
          </w:p>
        </w:tc>
      </w:tr>
    </w:tbl>
    <w:p>
      <w:pPr>
        <w:pStyle w:val="TextBody"/>
        <w:bidi w:val="0"/>
        <w:spacing w:before="0" w:after="283"/>
        <w:jc w:val="left"/>
        <w:rPr/>
      </w:pPr>
      <w:r>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bl>
    <w:p>
      <w:pPr>
        <w:pStyle w:val="TextBody"/>
        <w:bidi w:val="0"/>
        <w:spacing w:before="0" w:after="283"/>
        <w:jc w:val="left"/>
        <w:rPr/>
      </w:pPr>
      <w:r>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bl>
    <w:p>
      <w:pPr>
        <w:pStyle w:val="TextBody"/>
        <w:bidi w:val="0"/>
        <w:spacing w:before="0" w:after="283"/>
        <w:jc w:val="left"/>
        <w:rPr/>
      </w:pPr>
      <w:r>
        <w:rPr/>
        <w:t> </w:t>
      </w:r>
    </w:p>
    <w:tbl>
      <w:tblPr>
        <w:tblW w:w="6588" w:type="dxa"/>
        <w:jc w:val="left"/>
        <w:tblInd w:w="0" w:type="dxa"/>
        <w:tblLayout w:type="fixed"/>
        <w:tblCellMar>
          <w:top w:w="0" w:type="dxa"/>
          <w:left w:w="0" w:type="dxa"/>
          <w:bottom w:w="0" w:type="dxa"/>
          <w:right w:w="0" w:type="dxa"/>
        </w:tblCellMar>
      </w:tblPr>
      <w:tblGrid>
        <w:gridCol w:w="38"/>
        <w:gridCol w:w="17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distributions to their members, employees, partners or shareholders;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 sales effected after the date on which the registration statement of which this prospectus supplement forms a part is declared effective by the SEC;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market transactions, including transactions on a national securities exchange or quotations service or over-the-counter market;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283"/>
        <w:jc w:val="left"/>
        <w:rPr/>
      </w:pPr>
      <w:r>
        <w:rPr/>
        <w:t> </w:t>
      </w:r>
    </w:p>
    <w:tbl>
      <w:tblPr>
        <w:tblW w:w="3513" w:type="dxa"/>
        <w:jc w:val="left"/>
        <w:tblInd w:w="0" w:type="dxa"/>
        <w:tblLayout w:type="fixed"/>
        <w:tblCellMar>
          <w:top w:w="0" w:type="dxa"/>
          <w:left w:w="0" w:type="dxa"/>
          <w:bottom w:w="0" w:type="dxa"/>
          <w:right w:w="0" w:type="dxa"/>
        </w:tblCellMar>
      </w:tblPr>
      <w:tblGrid>
        <w:gridCol w:w="38"/>
        <w:gridCol w:w="17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directly to one or more purchasers;</w:t>
            </w:r>
          </w:p>
        </w:tc>
      </w:tr>
    </w:tbl>
    <w:p>
      <w:pPr>
        <w:pStyle w:val="TextBody"/>
        <w:bidi w:val="0"/>
        <w:spacing w:before="0" w:after="283"/>
        <w:jc w:val="left"/>
        <w:rPr/>
      </w:pPr>
      <w:r>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agents;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broker-dealers may agree with the Selling Securityholders to sell a specified number of such common stock at a stipulated price per share;</w:t>
            </w:r>
          </w:p>
        </w:tc>
      </w:tr>
    </w:tbl>
    <w:p>
      <w:pPr>
        <w:pStyle w:val="TextBody"/>
        <w:bidi w:val="0"/>
        <w:spacing w:before="0" w:after="283"/>
        <w:jc w:val="left"/>
        <w:rPr/>
      </w:pPr>
      <w:r>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by applicable law; or</w:t>
            </w:r>
          </w:p>
        </w:tc>
      </w:tr>
    </w:tbl>
    <w:p>
      <w:pPr>
        <w:pStyle w:val="TextBody"/>
        <w:bidi w:val="0"/>
        <w:spacing w:before="0" w:after="283"/>
        <w:jc w:val="left"/>
        <w:rPr/>
      </w:pPr>
      <w:r>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any combination of the foregoing.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transactions may include block transactions or crosses. Crosses are transactions in which the same broker acts as an agent on both sides of the trade.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particular offering of the Securities is made, a prospectus supplement may be distributed, which will set forth the name of the Selling Securityholders, the aggregate amount of Securities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We may suspend the sale of Securities by the Selling Securityholders pursuant to this prospectus supplement for certain periods of time for certain reasons, including if the prospectus supplement is required to be supplemented or amended to include additional material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15c6-1 of the Exchange Act, trades in the secondary market generally are required to settle in one business day, unless the parties to any such trade expressly agree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any lock-up provisions in respect of any given offering will be described in the applicable prospectus supplement and/or any related free writing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date of delivery of offered Securities will be set forth in the applicable prospectus supplement and/or any related free writing prospectus relating to each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act independently of us in making decisions with respect to the timing, manner, and size of each resale or other transfer. There can be no assurance that the Selling Securityholders will sell any or all of the Securities under this prospectus supplement. Further, we cannot assure you that the Selling Securityholders will not transfer, distribute, devise or gift the Securities by other means not described in this prospectus supplement. In addition, any Securities covered by this prospectus supplement that qualify for sale under Rule 144 of the Securities Act may be sold under Rule 144 rather than under this prospectus supplement. The Securities may be sold in some states only through registered or licensed brokers or dealers. In addition, in some states the Securities may not be sold unless they have been registered or qualified for sale or an exemption from registration or qualification is available and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other person participating in the sale of the Securities will be subject to the Exchange Act. The Exchange Act rules include, without limitation, Regulation M, which may limit the timing of purchases and sales of any of the Securities by the Selling Securityholders and any other person. In addition, Regulation M may restrict the ability of any person engaged in the distribution of the Securities to engage in market-making activities with respect to the particular Securities being distributed.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may affect the marketability of the Securities and the ability of any person or entity to engage in market-making activities with respect to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pledge or grant a security interest in some of the Securities owned by them and, if a Selling Securityholder defaults in the performance of its secured obligations, the pledgees or secured parties may offer and sell such Securities from time to time under this prospectus supplement or under a post-effective amendment to the registration statement of which this prospectus supplement forms a part or any accompanying prospectus supplement amending the list of the Selling Securityholders to include the pledgee, transferee or other successors in interest as the Selling Securityholders under this prospectus supplement. The Selling Securityholders also may transfer the Securities in other circumstances, in which case the transferees, pledgees or other successors in interest will be the selling beneficial owners for purposes of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expenses of registration, see the section titled “Use of Proceeds” appearing elsewhere in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r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has been passed upon for T1 Energy by Skadden, Arps, Slate, Meagher &amp; Flom LLP, Houston, Texas.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r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T1 Energy Inc. as of December 31, 2025, and for the year ended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as of December 31, 2024 and for the fiscal year ended December 31, 2024 (before the effects of the adjustments to retrospectively present the reclassification of certain amounts that had previously been classified as held for sale and were reclassified as held and used as of December 31, 2025) incorporated in this prospectus supplement by reference to the Annual Report on Form 10-K for the year ended December 31, 2025 have been so incorporated in reliance on the report of PricewaterhouseCoopers AS, an independent registered public accounting firm, given on the authority of said firm as experts in auditing and accounting. PricewaterhouseCoopers AS is a member of Den norske Revisorforening.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r_011"/>
      <w:bookmarkEnd w:id="1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including exhibits, under the Securities Act with respect to the securities being offered by this prospectus supplement. The registration statement, including exhibits, contains additional relevant information about us and the Securities. This prospectus supplement, which constitutes part of the registration statement, does not contain all of the information set forth in the registration statement and its exhibits. For further information with respect to us and the Securities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under the Exchange Act. Our SEC filings are available to the public at the SEC’s website at </w:t>
      </w:r>
      <w:r>
        <w:rPr>
          <w:rFonts w:ascii="Times New Roman;Times;Serif" w:hAnsi="Times New Roman;Times;Serif"/>
          <w:b w:val="false"/>
          <w:i/>
          <w:caps w:val="false"/>
          <w:smallCaps w:val="false"/>
          <w:sz w:val="20"/>
        </w:rPr>
        <w:t>https://www.sec.gov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r_012"/>
      <w:bookmarkEnd w:id="13"/>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information we file with the SEC in other documents. This means that we can disclose important information to you by referring to another document we filed with the SEC. The information relating to us contained in this prospectus supplement should be read together with the information in the documents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 (other than any document or portion of any document furnished or deemed furnished and not filed in accordance with SEC rules, including Items 2.02 and 7.01 of Form 8-K and Item 9.01 related thereto):</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Annual Report on </w:t>
            </w:r>
            <w:hyperlink r:id="rId3">
              <w:r>
                <w:rPr>
                  <w:rStyle w:val="InternetLink"/>
                  <w:rFonts w:ascii="Times New Roman;Times;Serif" w:hAnsi="Times New Roman;Times;Serif"/>
                  <w:strike w:val="false"/>
                  <w:dstrike w:val="false"/>
                  <w:color w:val="000000"/>
                  <w:sz w:val="20"/>
                  <w:u w:val="none"/>
                  <w:effect w:val="none"/>
                </w:rPr>
                <w:t>Form 10-K</w:t>
              </w:r>
            </w:hyperlink>
            <w:r>
              <w:rPr>
                <w:rFonts w:ascii="Times New Roman;Times;Serif" w:hAnsi="Times New Roman;Times;Serif"/>
                <w:sz w:val="20"/>
              </w:rPr>
              <w:t xml:space="preserve"> and </w:t>
            </w:r>
            <w:hyperlink r:id="rId4">
              <w:r>
                <w:rPr>
                  <w:rStyle w:val="InternetLink"/>
                  <w:rFonts w:ascii="Times New Roman;Times;Serif" w:hAnsi="Times New Roman;Times;Serif"/>
                  <w:strike w:val="false"/>
                  <w:dstrike w:val="false"/>
                  <w:color w:val="000000"/>
                  <w:sz w:val="20"/>
                  <w:u w:val="none"/>
                  <w:effect w:val="none"/>
                </w:rPr>
                <w:t>Form 10-K/A</w:t>
              </w:r>
            </w:hyperlink>
            <w:r>
              <w:rPr>
                <w:rFonts w:ascii="Times New Roman;Times;Serif" w:hAnsi="Times New Roman;Times;Serif"/>
                <w:sz w:val="20"/>
              </w:rPr>
              <w:t xml:space="preserve"> for the fiscal year ended December 31, 2025, filed with the SEC on March 31, 2026 and April 30, 2026, respectively;</w:t>
            </w:r>
          </w:p>
        </w:tc>
      </w:tr>
    </w:tbl>
    <w:p>
      <w:pPr>
        <w:pStyle w:val="TextBody"/>
        <w:bidi w:val="0"/>
        <w:spacing w:before="0" w:after="0"/>
        <w:ind w:left="1080" w:right="0" w:hanging="360"/>
        <w:jc w:val="both"/>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pPr>
            <w:r>
              <w:rPr>
                <w:rFonts w:ascii="Times New Roman;Times;Serif" w:hAnsi="Times New Roman;Times;Serif"/>
                <w:sz w:val="20"/>
              </w:rPr>
              <w:t xml:space="preserve">Quarterly Report on </w:t>
            </w:r>
            <w:hyperlink r:id="rId5">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quarterly period ended March 31, 2026, filed with the SEC on May 12, 2026;</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Current Reports on Form 8-K filed with the SEC on </w:t>
            </w:r>
            <w:hyperlink r:id="rId6">
              <w:r>
                <w:rPr>
                  <w:rStyle w:val="InternetLink"/>
                  <w:rFonts w:ascii="Times New Roman;Times;Serif" w:hAnsi="Times New Roman;Times;Serif"/>
                  <w:sz w:val="20"/>
                </w:rPr>
                <w:t>January 21, 2026</w:t>
              </w:r>
            </w:hyperlink>
            <w:r>
              <w:rPr>
                <w:rFonts w:ascii="Times New Roman;Times;Serif" w:hAnsi="Times New Roman;Times;Serif"/>
                <w:sz w:val="20"/>
              </w:rPr>
              <w:t>, </w:t>
            </w:r>
            <w:hyperlink r:id="rId7">
              <w:r>
                <w:rPr>
                  <w:rStyle w:val="InternetLink"/>
                  <w:rFonts w:ascii="Times New Roman;Times;Serif" w:hAnsi="Times New Roman;Times;Serif"/>
                  <w:sz w:val="20"/>
                </w:rPr>
                <w:t>February 6, 2026</w:t>
              </w:r>
            </w:hyperlink>
            <w:r>
              <w:rPr>
                <w:rFonts w:ascii="Times New Roman;Times;Serif" w:hAnsi="Times New Roman;Times;Serif"/>
                <w:sz w:val="20"/>
              </w:rPr>
              <w:t>, </w:t>
            </w:r>
            <w:hyperlink r:id="rId8">
              <w:r>
                <w:rPr>
                  <w:rStyle w:val="InternetLink"/>
                  <w:rFonts w:ascii="Times New Roman;Times;Serif" w:hAnsi="Times New Roman;Times;Serif"/>
                  <w:sz w:val="20"/>
                </w:rPr>
                <w:t>February 18, 2026</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March 31, 2026</w:t>
              </w:r>
            </w:hyperlink>
            <w:r>
              <w:rPr>
                <w:rFonts w:ascii="Times New Roman;Times;Serif" w:hAnsi="Times New Roman;Times;Serif"/>
                <w:sz w:val="20"/>
              </w:rPr>
              <w:t xml:space="preserve"> (solely with respect to Item 5.02), </w:t>
            </w:r>
            <w:hyperlink r:id="rId10">
              <w:r>
                <w:rPr>
                  <w:rStyle w:val="InternetLink"/>
                  <w:rFonts w:ascii="Times New Roman;Times;Serif" w:hAnsi="Times New Roman;Times;Serif"/>
                  <w:sz w:val="20"/>
                </w:rPr>
                <w:t>April 17, 2026</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April 27, 2026</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June 8, 2026</w:t>
              </w:r>
            </w:hyperlink>
            <w:r>
              <w:rPr>
                <w:rFonts w:ascii="Times New Roman;Times;Serif" w:hAnsi="Times New Roman;Times;Serif"/>
                <w:sz w:val="20"/>
              </w:rPr>
              <w:t xml:space="preserve">, </w:t>
            </w:r>
            <w:hyperlink r:id="rId13">
              <w:r>
                <w:rPr>
                  <w:rStyle w:val="InternetLink"/>
                  <w:rFonts w:ascii="Times New Roman;Times;Serif" w:hAnsi="Times New Roman;Times;Serif"/>
                  <w:sz w:val="20"/>
                </w:rPr>
                <w:t>June 17, 2026</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June 29, 2026</w:t>
              </w:r>
            </w:hyperlink>
            <w:r>
              <w:rPr>
                <w:rFonts w:ascii="Times New Roman;Times;Serif" w:hAnsi="Times New Roman;Times;Serif"/>
                <w:sz w:val="20"/>
              </w:rPr>
              <w:t xml:space="preserve">, </w:t>
            </w:r>
            <w:hyperlink r:id="rId15">
              <w:r>
                <w:rPr>
                  <w:rStyle w:val="InternetLink"/>
                  <w:rFonts w:ascii="Times New Roman;Times;Serif" w:hAnsi="Times New Roman;Times;Serif"/>
                  <w:sz w:val="20"/>
                </w:rPr>
                <w:t>July 28, 2026</w:t>
              </w:r>
            </w:hyperlink>
            <w:r>
              <w:rPr>
                <w:rFonts w:ascii="Times New Roman;Times;Serif" w:hAnsi="Times New Roman;Times;Serif"/>
                <w:sz w:val="20"/>
              </w:rPr>
              <w:t xml:space="preserve"> (solely with respect to Items 1.01, 1.02, 2.01 and 3.02), </w:t>
            </w:r>
            <w:hyperlink r:id="rId16">
              <w:r>
                <w:rPr>
                  <w:rStyle w:val="InternetLink"/>
                  <w:rFonts w:ascii="Times New Roman;Times;Serif" w:hAnsi="Times New Roman;Times;Serif"/>
                  <w:sz w:val="20"/>
                </w:rPr>
                <w:t>July 28, 2026</w:t>
              </w:r>
            </w:hyperlink>
            <w:r>
              <w:rPr>
                <w:rFonts w:ascii="Times New Roman;Times;Serif" w:hAnsi="Times New Roman;Times;Serif"/>
                <w:sz w:val="20"/>
              </w:rPr>
              <w:t xml:space="preserve"> (solely with respect to Item 8.01), </w:t>
            </w:r>
            <w:hyperlink r:id="rId17">
              <w:r>
                <w:rPr>
                  <w:rStyle w:val="InternetLink"/>
                  <w:rFonts w:ascii="Times New Roman;Times;Serif" w:hAnsi="Times New Roman;Times;Serif"/>
                  <w:sz w:val="20"/>
                </w:rPr>
                <w:t>July 30, 2026</w:t>
              </w:r>
            </w:hyperlink>
            <w:r>
              <w:rPr>
                <w:rFonts w:ascii="Times New Roman;Times;Serif" w:hAnsi="Times New Roman;Times;Serif"/>
                <w:sz w:val="20"/>
              </w:rPr>
              <w:t xml:space="preserve"> and </w:t>
            </w:r>
            <w:hyperlink r:id="rId18">
              <w:r>
                <w:rPr>
                  <w:rStyle w:val="InternetLink"/>
                  <w:rFonts w:ascii="Times New Roman;Times;Serif" w:hAnsi="Times New Roman;Times;Serif"/>
                  <w:sz w:val="20"/>
                </w:rPr>
                <w:t>July 31, 2026</w:t>
              </w:r>
            </w:hyperlink>
            <w:r>
              <w:rPr>
                <w:rFonts w:ascii="Times New Roman;Times;Serif" w:hAnsi="Times New Roman;Times;Serif"/>
                <w:sz w:val="20"/>
              </w:rPr>
              <w:t>; and</w:t>
            </w:r>
          </w:p>
        </w:tc>
      </w:tr>
    </w:tbl>
    <w:p>
      <w:pPr>
        <w:pStyle w:val="TextBody"/>
        <w:bidi w:val="0"/>
        <w:spacing w:before="0" w:after="0"/>
        <w:ind w:left="1080" w:right="0" w:hanging="36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pPr>
            <w:r>
              <w:rPr>
                <w:rFonts w:ascii="Times New Roman;Times;Serif" w:hAnsi="Times New Roman;Times;Serif"/>
                <w:sz w:val="20"/>
              </w:rPr>
              <w:t>the definitive Proxy Statement on </w:t>
            </w:r>
            <w:hyperlink r:id="rId19">
              <w:r>
                <w:rPr>
                  <w:rStyle w:val="InternetLink"/>
                  <w:rFonts w:ascii="Times New Roman;Times;Serif" w:hAnsi="Times New Roman;Times;Serif"/>
                  <w:sz w:val="20"/>
                </w:rPr>
                <w:t>Schedule 14A</w:t>
              </w:r>
            </w:hyperlink>
            <w:r>
              <w:rPr>
                <w:rFonts w:ascii="Times New Roman;Times;Serif" w:hAnsi="Times New Roman;Times;Serif"/>
                <w:sz w:val="20"/>
              </w:rPr>
              <w:t>, filed with the SEC on May 18, 2026;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the Company’s common stock set forth in our Current Report on </w:t>
            </w:r>
            <w:hyperlink r:id="rId20">
              <w:r>
                <w:rPr>
                  <w:rStyle w:val="InternetLink"/>
                  <w:rFonts w:ascii="Times New Roman;Times;Serif" w:hAnsi="Times New Roman;Times;Serif"/>
                  <w:strike w:val="false"/>
                  <w:dstrike w:val="false"/>
                  <w:sz w:val="20"/>
                  <w:u w:val="none"/>
                  <w:effect w:val="none"/>
                </w:rPr>
                <w:t>Form 8-K12B</w:t>
              </w:r>
            </w:hyperlink>
            <w:r>
              <w:rPr>
                <w:rFonts w:ascii="Times New Roman;Times;Serif" w:hAnsi="Times New Roman;Times;Serif"/>
                <w:sz w:val="20"/>
              </w:rPr>
              <w:t xml:space="preserve">, filed with the SEC on January 2, 2024, as updated by the description of the Company’s common stock contained in </w:t>
            </w:r>
            <w:hyperlink r:id="rId21">
              <w:r>
                <w:rPr>
                  <w:rStyle w:val="InternetLink"/>
                  <w:rFonts w:ascii="Times New Roman;Times;Serif" w:hAnsi="Times New Roman;Times;Serif"/>
                  <w:strike w:val="false"/>
                  <w:dstrike w:val="false"/>
                  <w:color w:val="000000"/>
                  <w:sz w:val="20"/>
                  <w:u w:val="none"/>
                  <w:effect w:val="none"/>
                </w:rPr>
                <w:t>Exhibit 4.8</w:t>
              </w:r>
            </w:hyperlink>
            <w:r>
              <w:rPr>
                <w:rFonts w:ascii="Times New Roman;Times;Serif" w:hAnsi="Times New Roman;Times;Serif"/>
                <w:sz w:val="20"/>
              </w:rPr>
              <w:t xml:space="preserve"> to our Annual Report on </w:t>
            </w:r>
            <w:hyperlink r:id="rId22">
              <w:r>
                <w:rPr>
                  <w:rStyle w:val="InternetLink"/>
                  <w:rFonts w:ascii="Times New Roman;Times;Serif" w:hAnsi="Times New Roman;Times;Serif"/>
                  <w:strike w:val="false"/>
                  <w:dstrike w:val="false"/>
                  <w:sz w:val="20"/>
                  <w:u w:val="none"/>
                  <w:effect w:val="none"/>
                </w:rPr>
                <w:t>Form 10-K</w:t>
              </w:r>
            </w:hyperlink>
            <w:r>
              <w:rPr>
                <w:rFonts w:ascii="Times New Roman;Times;Serif" w:hAnsi="Times New Roman;Times;Serif"/>
                <w:sz w:val="20"/>
              </w:rPr>
              <w:t xml:space="preserve"> for the fiscal year ended December 31, 2025, filed with the SEC on March 31, 2026, including any amendments or reports filed for the purpose of updating such description.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 and supplement the information provided in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incorporated by reference is considered to be part of this prospectus supplement, and information that we file later with the SEC and incorporate by reference in this prospectus supplement will automatically update and supersede this previously filed information, as applicable, including information in previously filed documents or reports that have been incorporated by reference into this prospectus supplement. Any statement so modified or superseded will not be deemed, except as so modified or superseded, to constitute a part of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supplement is delivered, upon written or oral request of such person, a copy of any or all of the documents incorporated by reference in this prospectus supplement, other than exhibits to such documents unless such exhibits are specifically incorporated by reference into such documents. Requests may be made by telephone at 409-599-5706, or by sending a written request to T1 Energy Inc., 1211 E 4th St. Austin, Texas 78702, Attention: Jeffery Spittel. Exhibits to any documents incorporated by reference in this prospectus supplement will not be sent, however, unless those exhibits have specifically been incorporated by reference into such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else to provide you with different information. You should not assume that the information in this prospectus supplement is accurate as of any date other than the date on the front of those documents or as of any earlier date as of which such information is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pPr>
      <w:r>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T1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8587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3"/>
                    <a:stretch>
                      <a:fillRect/>
                    </a:stretch>
                  </pic:blipFill>
                  <pic:spPr bwMode="auto">
                    <a:xfrm>
                      <a:off x="0" y="0"/>
                      <a:ext cx="1285875" cy="504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together or separately: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3"/>
        <w:gridCol w:w="9761"/>
      </w:tblGrid>
      <w:tr>
        <w:trPr/>
        <w:tc>
          <w:tcPr>
            <w:tcW w:w="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w:t>
            </w:r>
          </w:p>
        </w:tc>
        <w:tc>
          <w:tcPr>
            <w:tcW w:w="9761" w:type="dxa"/>
            <w:tcBorders/>
            <w:vAlign w:val="center"/>
          </w:tcPr>
          <w:p>
            <w:pPr>
              <w:pStyle w:val="TableContents"/>
              <w:bidi w:val="0"/>
              <w:spacing w:before="0" w:after="283"/>
              <w:jc w:val="both"/>
              <w:rPr/>
            </w:pPr>
            <w:r>
              <w:rPr/>
              <w:t>shares of our common stock (as defined herein);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4"/>
        <w:gridCol w:w="9907"/>
      </w:tblGrid>
      <w:tr>
        <w:trPr/>
        <w:tc>
          <w:tcPr>
            <w:tcW w:w="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pPr>
            <w:r>
              <w:rPr/>
              <w:t>shares of our preferred stock, which may be issued in one or more series;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debt securities, which may be issued in one or more series and which may be senior debt securities or subordinated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7"/>
        <w:gridCol w:w="9989"/>
      </w:tblGrid>
      <w:tr>
        <w:trPr/>
        <w:tc>
          <w:tcPr>
            <w:tcW w:w="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both"/>
              <w:rPr/>
            </w:pPr>
            <w:r>
              <w:rPr/>
              <w:t>warrants to purchase shares of our common stock, shares of our preferred stock or our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subscription rights to purchase shares of our common stock, shares of our preferred stock or debt securities; and </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purchase units comprised of two or more of the securities described in this prospectus, in any combination.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selling securityholders to be identified in supplements to this prospectus may offer and sell these securities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sell securities unless accompanied by a prospectus supplement.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AND YOU SHOULD READ THIS PROSPECTUS AND ANY ACCOMPANYING PROSPECTUS SUPPLEMENT BEFORE YOU INVEST. SEE “RISK FACTORS” BEGINNING ON PAGE 2 OF THIS PROSPECTUS AND ANY SIMILAR SECTION INCLUDED IN ANY ACCOMPANYING PROSPECTUS SUPPLEMENT AND IN THE DOCUMENTS INCORPORATED BY REFERENCE IN THIS PROSPECTUS. YOU SHOULD CAREFULLY CONSIDER THESE FACTORS BEFORE MAKING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securities through underwriting syndicates managed or co-managed by one or more underwriters or dealers, through agents or directly to purchasers. These securities also may be resold by selling securityholders. If required, the prospectus supplement for each offering of securities will describe the plan of distribution for that offering. For general information about the distribution of securities offered, please see “Plan of Distribution”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(as defined herein) are listed on the New York Stock Exchange (“NYSE”) under the symbols “TE” and “TE WS,” respectively. On January 20, 2026, the closing price of our common stock was $8.28 and the closing price of our Public Warrants was $1.65. Each prospectus supplement will indicate if the securities offered thereby will be listed on any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January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720" w:right="0" w:hanging="72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8045"/>
        <w:gridCol w:w="275"/>
      </w:tblGrid>
      <w:tr>
        <w:trPr/>
        <w:tc>
          <w:tcPr>
            <w:tcW w:w="8045" w:type="dxa"/>
            <w:tcBorders/>
            <w:shd w:fill="CCEEFF" w:val="clear"/>
            <w:vAlign w:val="center"/>
          </w:tcPr>
          <w:p>
            <w:pPr>
              <w:pStyle w:val="TableContents"/>
              <w:bidi w:val="0"/>
              <w:spacing w:before="0" w:after="283"/>
              <w:ind w:left="0" w:right="0" w:hanging="720"/>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ind w:left="0" w:right="0" w:hanging="720"/>
              <w:jc w:val="center"/>
              <w:rPr/>
            </w:pPr>
            <w:r>
              <w:rPr/>
              <w:t>ii</w:t>
            </w:r>
          </w:p>
        </w:tc>
      </w:tr>
      <w:tr>
        <w:trPr/>
        <w:tc>
          <w:tcPr>
            <w:tcW w:w="8045" w:type="dxa"/>
            <w:tcBorders/>
            <w:shd w:fill="FFFFFF" w:val="clear"/>
            <w:vAlign w:val="center"/>
          </w:tcPr>
          <w:p>
            <w:pPr>
              <w:pStyle w:val="TableContents"/>
              <w:bidi w:val="0"/>
              <w:spacing w:before="0" w:after="283"/>
              <w:jc w:val="left"/>
              <w:rPr/>
            </w:pPr>
            <w:hyperlink w:anchor="a_002">
              <w:r>
                <w:rPr>
                  <w:rStyle w:val="InternetLink"/>
                </w:rPr>
                <w:t>CAUTIONARY NOTE REGARDING FORWARD-LOOKING STATEMENTS</w:t>
              </w:r>
            </w:hyperlink>
          </w:p>
        </w:tc>
        <w:tc>
          <w:tcPr>
            <w:tcW w:w="275" w:type="dxa"/>
            <w:tcBorders/>
            <w:shd w:fill="FFFFFF" w:val="clear"/>
            <w:vAlign w:val="center"/>
          </w:tcPr>
          <w:p>
            <w:pPr>
              <w:pStyle w:val="TableContents"/>
              <w:bidi w:val="0"/>
              <w:spacing w:before="0" w:after="283"/>
              <w:ind w:left="0" w:right="0" w:hanging="720"/>
              <w:jc w:val="center"/>
              <w:rPr/>
            </w:pPr>
            <w:r>
              <w:rPr/>
              <w:t>iii</w:t>
            </w:r>
          </w:p>
        </w:tc>
      </w:tr>
      <w:tr>
        <w:trPr/>
        <w:tc>
          <w:tcPr>
            <w:tcW w:w="8045" w:type="dxa"/>
            <w:tcBorders/>
            <w:shd w:fill="CCEEFF" w:val="clear"/>
            <w:vAlign w:val="center"/>
          </w:tcPr>
          <w:p>
            <w:pPr>
              <w:pStyle w:val="TableContents"/>
              <w:bidi w:val="0"/>
              <w:spacing w:before="0" w:after="283"/>
              <w:jc w:val="left"/>
              <w:rPr/>
            </w:pPr>
            <w:hyperlink w:anchor="a_003">
              <w:r>
                <w:rPr>
                  <w:rStyle w:val="InternetLink"/>
                </w:rPr>
                <w:t>OUR COMPANY</w:t>
              </w:r>
            </w:hyperlink>
          </w:p>
        </w:tc>
        <w:tc>
          <w:tcPr>
            <w:tcW w:w="275" w:type="dxa"/>
            <w:tcBorders/>
            <w:shd w:fill="CCEEFF" w:val="clear"/>
            <w:vAlign w:val="center"/>
          </w:tcPr>
          <w:p>
            <w:pPr>
              <w:pStyle w:val="TableContents"/>
              <w:bidi w:val="0"/>
              <w:spacing w:before="0" w:after="283"/>
              <w:ind w:left="0" w:right="0" w:hanging="720"/>
              <w:jc w:val="center"/>
              <w:rPr/>
            </w:pPr>
            <w:r>
              <w:rPr/>
              <w:t>1</w:t>
            </w:r>
          </w:p>
        </w:tc>
      </w:tr>
      <w:tr>
        <w:trPr/>
        <w:tc>
          <w:tcPr>
            <w:tcW w:w="8045"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275" w:type="dxa"/>
            <w:tcBorders/>
            <w:shd w:fill="FFFFFF" w:val="clear"/>
            <w:vAlign w:val="center"/>
          </w:tcPr>
          <w:p>
            <w:pPr>
              <w:pStyle w:val="TableContents"/>
              <w:bidi w:val="0"/>
              <w:spacing w:before="0" w:after="283"/>
              <w:ind w:left="0" w:right="0" w:hanging="720"/>
              <w:jc w:val="center"/>
              <w:rPr/>
            </w:pPr>
            <w:r>
              <w:rPr/>
              <w:t>2</w:t>
            </w:r>
          </w:p>
        </w:tc>
      </w:tr>
      <w:tr>
        <w:trPr/>
        <w:tc>
          <w:tcPr>
            <w:tcW w:w="8045" w:type="dxa"/>
            <w:tcBorders/>
            <w:shd w:fill="CCEEFF" w:val="clear"/>
            <w:vAlign w:val="center"/>
          </w:tcPr>
          <w:p>
            <w:pPr>
              <w:pStyle w:val="TableContents"/>
              <w:bidi w:val="0"/>
              <w:spacing w:before="0" w:after="283"/>
              <w:jc w:val="left"/>
              <w:rPr/>
            </w:pPr>
            <w:hyperlink w:anchor="a_005">
              <w:r>
                <w:rPr>
                  <w:rStyle w:val="InternetLink"/>
                </w:rPr>
                <w:t>USE OF PROCEEDS</w:t>
              </w:r>
            </w:hyperlink>
          </w:p>
        </w:tc>
        <w:tc>
          <w:tcPr>
            <w:tcW w:w="275" w:type="dxa"/>
            <w:tcBorders/>
            <w:shd w:fill="CCEEFF" w:val="clear"/>
            <w:vAlign w:val="center"/>
          </w:tcPr>
          <w:p>
            <w:pPr>
              <w:pStyle w:val="TableContents"/>
              <w:bidi w:val="0"/>
              <w:spacing w:before="0" w:after="283"/>
              <w:ind w:left="0" w:right="0" w:hanging="720"/>
              <w:jc w:val="center"/>
              <w:rPr/>
            </w:pPr>
            <w:r>
              <w:rPr/>
              <w:t>3</w:t>
            </w:r>
          </w:p>
        </w:tc>
      </w:tr>
      <w:tr>
        <w:trPr/>
        <w:tc>
          <w:tcPr>
            <w:tcW w:w="8045" w:type="dxa"/>
            <w:tcBorders/>
            <w:shd w:fill="FFFFFF" w:val="clear"/>
            <w:vAlign w:val="center"/>
          </w:tcPr>
          <w:p>
            <w:pPr>
              <w:pStyle w:val="TableContents"/>
              <w:bidi w:val="0"/>
              <w:spacing w:before="0" w:after="283"/>
              <w:jc w:val="left"/>
              <w:rPr/>
            </w:pPr>
            <w:hyperlink w:anchor="a_006">
              <w:r>
                <w:rPr>
                  <w:rStyle w:val="InternetLink"/>
                </w:rPr>
                <w:t>DESCRIPTION OF SECURITIES</w:t>
              </w:r>
            </w:hyperlink>
          </w:p>
        </w:tc>
        <w:tc>
          <w:tcPr>
            <w:tcW w:w="275" w:type="dxa"/>
            <w:tcBorders/>
            <w:shd w:fill="FFFFFF" w:val="clear"/>
            <w:vAlign w:val="center"/>
          </w:tcPr>
          <w:p>
            <w:pPr>
              <w:pStyle w:val="TableContents"/>
              <w:bidi w:val="0"/>
              <w:spacing w:before="0" w:after="283"/>
              <w:ind w:left="0" w:right="0" w:hanging="720"/>
              <w:jc w:val="center"/>
              <w:rPr/>
            </w:pPr>
            <w:r>
              <w:rPr/>
              <w:t>4</w:t>
            </w:r>
          </w:p>
        </w:tc>
      </w:tr>
      <w:tr>
        <w:trPr/>
        <w:tc>
          <w:tcPr>
            <w:tcW w:w="8045" w:type="dxa"/>
            <w:tcBorders/>
            <w:shd w:fill="CCEEFF" w:val="clear"/>
            <w:vAlign w:val="center"/>
          </w:tcPr>
          <w:p>
            <w:pPr>
              <w:pStyle w:val="TableContents"/>
              <w:bidi w:val="0"/>
              <w:spacing w:before="0" w:after="283"/>
              <w:jc w:val="left"/>
              <w:rPr/>
            </w:pPr>
            <w:hyperlink w:anchor="a_007">
              <w:r>
                <w:rPr>
                  <w:rStyle w:val="InternetLink"/>
                </w:rPr>
                <w:t>DESCRIPTION OF CAPITAL STOCK</w:t>
              </w:r>
            </w:hyperlink>
          </w:p>
        </w:tc>
        <w:tc>
          <w:tcPr>
            <w:tcW w:w="275" w:type="dxa"/>
            <w:tcBorders/>
            <w:shd w:fill="CCEEFF" w:val="clear"/>
            <w:vAlign w:val="center"/>
          </w:tcPr>
          <w:p>
            <w:pPr>
              <w:pStyle w:val="TableContents"/>
              <w:bidi w:val="0"/>
              <w:spacing w:before="0" w:after="283"/>
              <w:ind w:left="0" w:right="0" w:hanging="720"/>
              <w:jc w:val="center"/>
              <w:rPr/>
            </w:pPr>
            <w:r>
              <w:rPr/>
              <w:t>5</w:t>
            </w:r>
          </w:p>
        </w:tc>
      </w:tr>
      <w:tr>
        <w:trPr/>
        <w:tc>
          <w:tcPr>
            <w:tcW w:w="8045" w:type="dxa"/>
            <w:tcBorders/>
            <w:shd w:fill="FFFFFF" w:val="clear"/>
            <w:vAlign w:val="center"/>
          </w:tcPr>
          <w:p>
            <w:pPr>
              <w:pStyle w:val="TableContents"/>
              <w:bidi w:val="0"/>
              <w:spacing w:before="0" w:after="283"/>
              <w:jc w:val="left"/>
              <w:rPr/>
            </w:pPr>
            <w:hyperlink w:anchor="a_008">
              <w:r>
                <w:rPr>
                  <w:rStyle w:val="InternetLink"/>
                </w:rPr>
                <w:t>DESCRIPTION OF DEBT SECURITIES</w:t>
              </w:r>
            </w:hyperlink>
          </w:p>
        </w:tc>
        <w:tc>
          <w:tcPr>
            <w:tcW w:w="275" w:type="dxa"/>
            <w:tcBorders/>
            <w:shd w:fill="FFFFFF" w:val="clear"/>
            <w:vAlign w:val="center"/>
          </w:tcPr>
          <w:p>
            <w:pPr>
              <w:pStyle w:val="TableContents"/>
              <w:bidi w:val="0"/>
              <w:spacing w:before="0" w:after="283"/>
              <w:ind w:left="0" w:right="0" w:hanging="720"/>
              <w:jc w:val="center"/>
              <w:rPr/>
            </w:pPr>
            <w:r>
              <w:rPr/>
              <w:t>13</w:t>
            </w:r>
          </w:p>
        </w:tc>
      </w:tr>
      <w:tr>
        <w:trPr/>
        <w:tc>
          <w:tcPr>
            <w:tcW w:w="8045" w:type="dxa"/>
            <w:tcBorders/>
            <w:shd w:fill="CCEEFF" w:val="clear"/>
            <w:vAlign w:val="center"/>
          </w:tcPr>
          <w:p>
            <w:pPr>
              <w:pStyle w:val="TableContents"/>
              <w:bidi w:val="0"/>
              <w:spacing w:before="0" w:after="283"/>
              <w:jc w:val="left"/>
              <w:rPr/>
            </w:pPr>
            <w:hyperlink w:anchor="m_001">
              <w:r>
                <w:rPr>
                  <w:rStyle w:val="InternetLink"/>
                </w:rPr>
                <w:t>DESCRIPTION OF EXISTING WARRANTS</w:t>
              </w:r>
            </w:hyperlink>
          </w:p>
        </w:tc>
        <w:tc>
          <w:tcPr>
            <w:tcW w:w="275" w:type="dxa"/>
            <w:tcBorders/>
            <w:shd w:fill="CCEEFF" w:val="clear"/>
            <w:vAlign w:val="center"/>
          </w:tcPr>
          <w:p>
            <w:pPr>
              <w:pStyle w:val="TableContents"/>
              <w:bidi w:val="0"/>
              <w:spacing w:before="0" w:after="283"/>
              <w:ind w:left="0" w:right="0" w:hanging="720"/>
              <w:jc w:val="center"/>
              <w:rPr/>
            </w:pPr>
            <w:r>
              <w:rPr/>
              <w:t>15</w:t>
            </w:r>
          </w:p>
        </w:tc>
      </w:tr>
      <w:tr>
        <w:trPr/>
        <w:tc>
          <w:tcPr>
            <w:tcW w:w="8045" w:type="dxa"/>
            <w:tcBorders/>
            <w:shd w:fill="FFFFFF" w:val="clear"/>
            <w:vAlign w:val="center"/>
          </w:tcPr>
          <w:p>
            <w:pPr>
              <w:pStyle w:val="TableContents"/>
              <w:bidi w:val="0"/>
              <w:spacing w:before="0" w:after="283"/>
              <w:jc w:val="left"/>
              <w:rPr/>
            </w:pPr>
            <w:hyperlink w:anchor="a_009">
              <w:r>
                <w:rPr>
                  <w:rStyle w:val="InternetLink"/>
                </w:rPr>
                <w:t>DESCRIPTION OF NEW WARRANTS</w:t>
              </w:r>
            </w:hyperlink>
          </w:p>
        </w:tc>
        <w:tc>
          <w:tcPr>
            <w:tcW w:w="275" w:type="dxa"/>
            <w:tcBorders/>
            <w:shd w:fill="FFFFFF" w:val="clear"/>
            <w:vAlign w:val="center"/>
          </w:tcPr>
          <w:p>
            <w:pPr>
              <w:pStyle w:val="TableContents"/>
              <w:bidi w:val="0"/>
              <w:spacing w:before="0" w:after="283"/>
              <w:ind w:left="0" w:right="0" w:hanging="720"/>
              <w:jc w:val="center"/>
              <w:rPr/>
            </w:pPr>
            <w:r>
              <w:rPr/>
              <w:t>19</w:t>
            </w:r>
          </w:p>
        </w:tc>
      </w:tr>
      <w:tr>
        <w:trPr/>
        <w:tc>
          <w:tcPr>
            <w:tcW w:w="8045" w:type="dxa"/>
            <w:tcBorders/>
            <w:shd w:fill="CCEEFF" w:val="clear"/>
            <w:vAlign w:val="center"/>
          </w:tcPr>
          <w:p>
            <w:pPr>
              <w:pStyle w:val="TableContents"/>
              <w:bidi w:val="0"/>
              <w:spacing w:before="0" w:after="283"/>
              <w:jc w:val="left"/>
              <w:rPr/>
            </w:pPr>
            <w:hyperlink w:anchor="a_010">
              <w:r>
                <w:rPr>
                  <w:rStyle w:val="InternetLink"/>
                </w:rPr>
                <w:t>DESCRIPTION OF SUBSCRIPTION RIGHTS</w:t>
              </w:r>
            </w:hyperlink>
          </w:p>
        </w:tc>
        <w:tc>
          <w:tcPr>
            <w:tcW w:w="275" w:type="dxa"/>
            <w:tcBorders/>
            <w:shd w:fill="CCEEFF" w:val="clear"/>
            <w:vAlign w:val="center"/>
          </w:tcPr>
          <w:p>
            <w:pPr>
              <w:pStyle w:val="TableContents"/>
              <w:bidi w:val="0"/>
              <w:spacing w:before="0" w:after="283"/>
              <w:ind w:left="0" w:right="0" w:hanging="720"/>
              <w:jc w:val="center"/>
              <w:rPr/>
            </w:pPr>
            <w:r>
              <w:rPr/>
              <w:t>20</w:t>
            </w:r>
          </w:p>
        </w:tc>
      </w:tr>
      <w:tr>
        <w:trPr/>
        <w:tc>
          <w:tcPr>
            <w:tcW w:w="8045" w:type="dxa"/>
            <w:tcBorders/>
            <w:shd w:fill="FFFFFF" w:val="clear"/>
            <w:vAlign w:val="center"/>
          </w:tcPr>
          <w:p>
            <w:pPr>
              <w:pStyle w:val="TableContents"/>
              <w:bidi w:val="0"/>
              <w:spacing w:before="0" w:after="283"/>
              <w:jc w:val="left"/>
              <w:rPr/>
            </w:pPr>
            <w:hyperlink w:anchor="a_011">
              <w:r>
                <w:rPr>
                  <w:rStyle w:val="InternetLink"/>
                </w:rPr>
                <w:t>DESCRIPTION OF PURCHASE UNITS</w:t>
              </w:r>
            </w:hyperlink>
          </w:p>
        </w:tc>
        <w:tc>
          <w:tcPr>
            <w:tcW w:w="275" w:type="dxa"/>
            <w:tcBorders/>
            <w:shd w:fill="FFFFFF" w:val="clear"/>
            <w:vAlign w:val="center"/>
          </w:tcPr>
          <w:p>
            <w:pPr>
              <w:pStyle w:val="TableContents"/>
              <w:bidi w:val="0"/>
              <w:spacing w:before="0" w:after="283"/>
              <w:ind w:left="0" w:right="0" w:hanging="720"/>
              <w:jc w:val="center"/>
              <w:rPr/>
            </w:pPr>
            <w:r>
              <w:rPr/>
              <w:t>21</w:t>
            </w:r>
          </w:p>
        </w:tc>
      </w:tr>
      <w:tr>
        <w:trPr/>
        <w:tc>
          <w:tcPr>
            <w:tcW w:w="8045" w:type="dxa"/>
            <w:tcBorders/>
            <w:shd w:fill="CCEEFF" w:val="clear"/>
            <w:vAlign w:val="center"/>
          </w:tcPr>
          <w:p>
            <w:pPr>
              <w:pStyle w:val="TableContents"/>
              <w:bidi w:val="0"/>
              <w:spacing w:before="0" w:after="283"/>
              <w:jc w:val="left"/>
              <w:rPr/>
            </w:pPr>
            <w:hyperlink w:anchor="a_012">
              <w:r>
                <w:rPr>
                  <w:rStyle w:val="InternetLink"/>
                </w:rPr>
                <w:t>SELLING SECURITYHOLDERS</w:t>
              </w:r>
            </w:hyperlink>
          </w:p>
        </w:tc>
        <w:tc>
          <w:tcPr>
            <w:tcW w:w="275" w:type="dxa"/>
            <w:tcBorders/>
            <w:shd w:fill="CCEEFF" w:val="clear"/>
            <w:vAlign w:val="center"/>
          </w:tcPr>
          <w:p>
            <w:pPr>
              <w:pStyle w:val="TableContents"/>
              <w:bidi w:val="0"/>
              <w:spacing w:before="0" w:after="283"/>
              <w:ind w:left="0" w:right="0" w:hanging="720"/>
              <w:jc w:val="center"/>
              <w:rPr/>
            </w:pPr>
            <w:r>
              <w:rPr/>
              <w:t>22</w:t>
            </w:r>
          </w:p>
        </w:tc>
      </w:tr>
      <w:tr>
        <w:trPr/>
        <w:tc>
          <w:tcPr>
            <w:tcW w:w="8045" w:type="dxa"/>
            <w:tcBorders/>
            <w:shd w:fill="FFFFFF" w:val="clear"/>
            <w:vAlign w:val="center"/>
          </w:tcPr>
          <w:p>
            <w:pPr>
              <w:pStyle w:val="TableContents"/>
              <w:bidi w:val="0"/>
              <w:spacing w:before="0" w:after="283"/>
              <w:jc w:val="left"/>
              <w:rPr/>
            </w:pPr>
            <w:hyperlink w:anchor="a_013">
              <w:r>
                <w:rPr>
                  <w:rStyle w:val="InternetLink"/>
                </w:rPr>
                <w:t>PLAN OF DISTRIBUTION</w:t>
              </w:r>
            </w:hyperlink>
          </w:p>
        </w:tc>
        <w:tc>
          <w:tcPr>
            <w:tcW w:w="275" w:type="dxa"/>
            <w:tcBorders/>
            <w:shd w:fill="FFFFFF" w:val="clear"/>
            <w:vAlign w:val="center"/>
          </w:tcPr>
          <w:p>
            <w:pPr>
              <w:pStyle w:val="TableContents"/>
              <w:bidi w:val="0"/>
              <w:spacing w:before="0" w:after="283"/>
              <w:ind w:left="0" w:right="0" w:hanging="720"/>
              <w:jc w:val="center"/>
              <w:rPr/>
            </w:pPr>
            <w:r>
              <w:rPr/>
              <w:t>23</w:t>
            </w:r>
          </w:p>
        </w:tc>
      </w:tr>
      <w:tr>
        <w:trPr/>
        <w:tc>
          <w:tcPr>
            <w:tcW w:w="8045" w:type="dxa"/>
            <w:tcBorders/>
            <w:shd w:fill="CCEEFF" w:val="clear"/>
            <w:vAlign w:val="center"/>
          </w:tcPr>
          <w:p>
            <w:pPr>
              <w:pStyle w:val="TableContents"/>
              <w:bidi w:val="0"/>
              <w:spacing w:before="0" w:after="283"/>
              <w:jc w:val="left"/>
              <w:rPr/>
            </w:pPr>
            <w:hyperlink w:anchor="a_014">
              <w:r>
                <w:rPr>
                  <w:rStyle w:val="InternetLink"/>
                </w:rPr>
                <w:t>LEGAL MATTERS</w:t>
              </w:r>
            </w:hyperlink>
          </w:p>
        </w:tc>
        <w:tc>
          <w:tcPr>
            <w:tcW w:w="275" w:type="dxa"/>
            <w:tcBorders/>
            <w:shd w:fill="CCEEFF" w:val="clear"/>
            <w:vAlign w:val="center"/>
          </w:tcPr>
          <w:p>
            <w:pPr>
              <w:pStyle w:val="TableContents"/>
              <w:bidi w:val="0"/>
              <w:spacing w:before="0" w:after="283"/>
              <w:ind w:left="0" w:right="0" w:hanging="720"/>
              <w:jc w:val="center"/>
              <w:rPr/>
            </w:pPr>
            <w:r>
              <w:rPr/>
              <w:t>24</w:t>
            </w:r>
          </w:p>
        </w:tc>
      </w:tr>
      <w:tr>
        <w:trPr/>
        <w:tc>
          <w:tcPr>
            <w:tcW w:w="8045" w:type="dxa"/>
            <w:tcBorders/>
            <w:shd w:fill="FFFFFF" w:val="clear"/>
            <w:vAlign w:val="center"/>
          </w:tcPr>
          <w:p>
            <w:pPr>
              <w:pStyle w:val="TableContents"/>
              <w:bidi w:val="0"/>
              <w:spacing w:before="0" w:after="283"/>
              <w:jc w:val="left"/>
              <w:rPr/>
            </w:pPr>
            <w:hyperlink w:anchor="a_015">
              <w:r>
                <w:rPr>
                  <w:rStyle w:val="InternetLink"/>
                </w:rPr>
                <w:t>EXPERTS</w:t>
              </w:r>
            </w:hyperlink>
          </w:p>
        </w:tc>
        <w:tc>
          <w:tcPr>
            <w:tcW w:w="275" w:type="dxa"/>
            <w:tcBorders/>
            <w:shd w:fill="FFFFFF" w:val="clear"/>
            <w:vAlign w:val="center"/>
          </w:tcPr>
          <w:p>
            <w:pPr>
              <w:pStyle w:val="TableContents"/>
              <w:bidi w:val="0"/>
              <w:spacing w:before="0" w:after="283"/>
              <w:ind w:left="0" w:right="0" w:hanging="720"/>
              <w:jc w:val="center"/>
              <w:rPr/>
            </w:pPr>
            <w:r>
              <w:rPr/>
              <w:t>25</w:t>
            </w:r>
          </w:p>
        </w:tc>
      </w:tr>
      <w:tr>
        <w:trPr/>
        <w:tc>
          <w:tcPr>
            <w:tcW w:w="8045" w:type="dxa"/>
            <w:tcBorders/>
            <w:shd w:fill="CCEEFF" w:val="clear"/>
            <w:vAlign w:val="center"/>
          </w:tcPr>
          <w:p>
            <w:pPr>
              <w:pStyle w:val="TableContents"/>
              <w:bidi w:val="0"/>
              <w:spacing w:before="0" w:after="283"/>
              <w:jc w:val="left"/>
              <w:rPr/>
            </w:pPr>
            <w:hyperlink w:anchor="a_016">
              <w:r>
                <w:rPr>
                  <w:rStyle w:val="InternetLink"/>
                </w:rPr>
                <w:t>WHERE YOU CAN FIND MORE INFORMATION</w:t>
              </w:r>
            </w:hyperlink>
          </w:p>
        </w:tc>
        <w:tc>
          <w:tcPr>
            <w:tcW w:w="275" w:type="dxa"/>
            <w:tcBorders/>
            <w:shd w:fill="CCEEFF" w:val="clear"/>
            <w:vAlign w:val="center"/>
          </w:tcPr>
          <w:p>
            <w:pPr>
              <w:pStyle w:val="TableContents"/>
              <w:bidi w:val="0"/>
              <w:spacing w:before="0" w:after="283"/>
              <w:ind w:left="0" w:right="0" w:hanging="720"/>
              <w:jc w:val="center"/>
              <w:rPr/>
            </w:pPr>
            <w:r>
              <w:rPr/>
              <w:t>26</w:t>
            </w:r>
          </w:p>
        </w:tc>
      </w:tr>
      <w:tr>
        <w:trPr/>
        <w:tc>
          <w:tcPr>
            <w:tcW w:w="8045" w:type="dxa"/>
            <w:tcBorders/>
            <w:shd w:fill="FFFFFF" w:val="clear"/>
            <w:vAlign w:val="center"/>
          </w:tcPr>
          <w:p>
            <w:pPr>
              <w:pStyle w:val="TableContents"/>
              <w:bidi w:val="0"/>
              <w:spacing w:before="0" w:after="283"/>
              <w:jc w:val="left"/>
              <w:rPr/>
            </w:pPr>
            <w:hyperlink w:anchor="a_017">
              <w:r>
                <w:rPr>
                  <w:rStyle w:val="InternetLink"/>
                </w:rPr>
                <w:t>INCORPORATION OF CERTAIN DOCUMENTS BY REFERENCE</w:t>
              </w:r>
            </w:hyperlink>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01"/>
      <w:bookmarkEnd w:id="14"/>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an automatic registration statement on Form S-3 that we are filing with the SEC utilizing a “shelf” registration process as a “well-known seasoned issuer,” as defined in Rule 405 under the Securities Act of 1933, as amended (the “Securities Act”). Under this shelf registration process, we or selling securityholders may offer and sell, in one or more offerings, together or separately, the securities described in this prospectus. There is no limit on the aggregate number or amount of securities we may sell pursuant to the registration statement of which this prospectus is a part. This prospectus provides you with a general description of the securities we or selling securityholders may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If there is any inconsistency between the information in this prospectus and any applicable prospectus supplement or free writing prospectus, you should rely on the prospectus supplement or free writing prospectus, as applicable;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We urge you to read carefully this prospectus, any applicable prospectus supplement and any free writing prospectuses we may authorize for use in connection with a specific offering, together with the information incorporated herein by reference as described under the sections titled “Where You Can Find More Information” and “Incorporation of Certain Documents by Reference,” before buying any of the securities being offered.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and any applicable prospectus supplement, along with the information contained in any related free writing prospectuses we have authorized for use in connection with a specific offering. Neither we nor any selling securityholder has authorized any other person to provide you with different or additional information. If anyone provides you with different or inconsistent information, you should not rely on it. Neither we nor any selling securityholder takes responsibility for, and can provide no assurance as to the reliability of, any other information that others may give you. This prospectus is an offer to sell only the securities offered hereby, but only under circumstances and in jurisdictions where it is lawful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appearing in this prospectus, any applicable prospectus supplement and any related free writing prospectus that we may authorize for use in connection with this offering is accurate only as of the date on the front of such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by reference herein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otherwise stated or unless the context otherwise requires: references to the “Company,” “T1 Energy,” the “registrant,” “we,” “our,” “us” and similar terms are to T1 Energy Inc., a Delaware corporation, and where appropriate, its wholly-owned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02"/>
      <w:bookmarkEnd w:id="1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including the information and documents incorporated by reference herein and therein, contain forward-looking statements within the meaning of Section 27A of the Securities Act and Section 21E of the Securities Exchange Act of 1934, as amended (the “Exchange Act”). All statements other than statements of historical or current facts contained or incorporated by reference in this prospectus or any accompanying prospectus supplement may be forward-looking statements. Statements regarding our future results and timing of operations, expected performance and financial position, business strategy and plans and objectives of management for future operations, including, among others, statements regarding expected results and benefits arising from the business combination with Trina Solar (Schweiz) AG (“Trina”),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or the negative of these words, other similar expressions or by discussions of strategy, plans or intentions.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or incorporated by reference in this prospectus and any accompanying prospectus supplement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factors include, but are not limited to, the factors set forth under the heading “Risk Factors” in our most recent Annual Report on Form 10-K and in our subsequent Quarterly Reports on Form 10-Q. These factors include, but are not limited to, risks related to: (1) our ability to (i) construct and equip manufacturing facilities in a timely and cost-effective manner; (ii) target and retain customers and suppliers; (iii) attract and retain key employees and qualified personnel; (iv) protect our intellectual property; (v) comply with legal and environmental regulations; (vi) compete in international markets in light of export and import controls; (vii) incur substantially more debt; and (viii) remediate the material weakness in our internal control over financial reporting or otherwise maintain effective internal control over financial reporting; (2) the concentration of our operations in Texas and our dependence on a limited number of suppliers; (3) changes adversely affecting the flow of components and materials from international vendors, the costs of raw materials, components, equipment, and machinery; (4) general economic and geopolitical conditions, changes in applicable laws or regulations, including environmental, export control and tax laws and incentives and renewable energy targets, as well as international trade policies, including tariffs, on our products and our competitive position; (5) the outcome of any legal proceedings relating to our products and services, including intellectual property or product liability claims, commercial or contractual disputes, warranty claims, and other proceedings; and (6) the capital-intensive nature of our business and our ability to raise additional capital on attractive terms or service our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prospectus or any accompanying prospectus supplement, or the documents incorporated by reference herein or therein, and while we believe such information provides a reasonable basis for these statements, and our management is responsible for the accuracy of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on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accompanying prospectus supplement, and the documents incorporated by reference herein and therein, with the understanding that our actual future results, levels of activity, performance and achievements may be materially different from what we expect. All forward-looking statements attributable to us or persons acting on our behalf are expressly qualified in their entirety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prospectus or, in the case of the accompanying prospectus supplement or the documents incorporated by reference herein or therein, the date of any such document. Except as required by applicable law, we do not plan to publicly update or revise any forward-looking statement, whether as a result of any new information,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3"/>
      <w:bookmarkEnd w:id="16"/>
      <w:r>
        <w:rPr>
          <w:rFonts w:ascii="Times New Roman;Times;Serif" w:hAnsi="Times New Roman;Times;Serif"/>
          <w:b/>
          <w:i w:val="false"/>
          <w:caps w:val="false"/>
          <w:smallCaps w:val="false"/>
          <w:sz w:val="20"/>
        </w:rPr>
        <w:t>OUR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is an energy solutions provider building an integrated U.S. supply chain for solar and batteries. We manufacture and sell photovoltaic (“PV”) solar modules in the United States for our U.S.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one of the leading solar manufacturing companies in the United States. Our PV solar module manufacturing facility in Wilmer, TX is operating and has an installed base of five gigawatts per annum. We believe our facility is one of the most technologically advanced PV solar module plants globally. T1 Energy produces PV solar modules that employ highly energy efficient Passivated Emitter and Rear Contact and Tunnel Oxide Passivated Contact technologies. We believe the superior performance characteristics of the PV solar modules that we manufacture and our domestic content will competitively differentiate T1 Energy in the U.S.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executing a phased development of the G2_Austin solar cell facility in Rockdale, Texas, which is expected to begin producing cells by the end of 2026, and create up to 1,800 full-time jobs.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mailing address of our registered and principal executive office is 1211 E 4th St. Austin, Texas 78702. The telephone number of our registered and principal executive office is 409-599-5706. Our investor relations website is located at </w:t>
      </w:r>
      <w:r>
        <w:rPr>
          <w:rFonts w:ascii="Times New Roman;Times;Serif" w:hAnsi="Times New Roman;Times;Serif"/>
          <w:b w:val="false"/>
          <w:i/>
          <w:caps w:val="false"/>
          <w:smallCaps w:val="false"/>
          <w:sz w:val="20"/>
        </w:rPr>
        <w:t>https://ir.t1energy.com/</w:t>
      </w:r>
      <w:r>
        <w:rPr>
          <w:rFonts w:ascii="Times New Roman;Times;Serif" w:hAnsi="Times New Roman;Times;Serif"/>
          <w:b w:val="false"/>
          <w:i w:val="false"/>
          <w:caps w:val="false"/>
          <w:smallCaps w:val="false"/>
          <w:sz w:val="20"/>
        </w:rPr>
        <w:t>, and its news site located at </w:t>
      </w:r>
      <w:r>
        <w:rPr>
          <w:rFonts w:ascii="Times New Roman;Times;Serif" w:hAnsi="Times New Roman;Times;Serif"/>
          <w:b w:val="false"/>
          <w:i/>
          <w:caps w:val="false"/>
          <w:smallCaps w:val="false"/>
          <w:sz w:val="20"/>
        </w:rPr>
        <w:t>https://ir.t1energy.com/news-releases/news-releases</w:t>
      </w:r>
      <w:r>
        <w:rPr>
          <w:rFonts w:ascii="Times New Roman;Times;Serif" w:hAnsi="Times New Roman;Times;Serif"/>
          <w:b w:val="false"/>
          <w:i w:val="false"/>
          <w:caps w:val="false"/>
          <w:smallCaps w:val="false"/>
          <w:sz w:val="20"/>
        </w:rPr>
        <w:t>, our X (f/k/a Twitter) account is located at https://x.com/T1_Energy, our LinkedIn account is located at https://www.linkedin.com/company/t1energy, and our Instagram account is located at https://www.instagram.com/t1_energy/. We use our investor relations website, our X account and our LinkedIn account as well as Daniel Barcelo’s X account (https://x.com/_danielbarcelo), LinkedIn account (https://www.linkedin.com/in/daniel-barcelo-b262a939/) and Instagram account (</w:t>
      </w:r>
      <w:r>
        <w:rPr>
          <w:rFonts w:ascii="Times New Roman;Times;Serif" w:hAnsi="Times New Roman;Times;Serif"/>
          <w:b w:val="false"/>
          <w:i/>
          <w:caps w:val="false"/>
          <w:smallCaps w:val="false"/>
          <w:sz w:val="20"/>
        </w:rPr>
        <w:t>https://www.instagram.com/danbarcelo/</w:t>
      </w:r>
      <w:r>
        <w:rPr>
          <w:rFonts w:ascii="Times New Roman;Times;Serif" w:hAnsi="Times New Roman;Times;Serif"/>
          <w:b w:val="false"/>
          <w:i w:val="false"/>
          <w:caps w:val="false"/>
          <w:smallCaps w:val="false"/>
          <w:sz w:val="20"/>
        </w:rPr>
        <w:t>)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our X account and our LinkedIn account, in addition to following press releases, SEC filings and public conference calls and webcasts. Our website, X account and our LinkedIn account, and the information contained therein, or that can be accessed through the website, is not deemed to be incorporated by reference in, and is not considered part of, this prospectus or any accompanying prospectus supplement, and you should not consider it a part of this prospectus or any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4"/>
      <w:bookmarkEnd w:id="17"/>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you decide whether to purchase any of our securities, in addition to the other information, documents or reports included or incorporated by reference into this prospectus and any accompanying prospectus supplement or other offering materials (including any free writing prospectus), you should carefully consider the risk factors described in the section titled “Risk Factors” in any prospectus supplement or free writing prospectus, our most recent Annual Report on Form 10-K, any Quarterly Reports on Form 10-Q and Current Reports on Form 8-K filed subsequent to such Annual Report on Form 10-K, each of which is incorporated by reference into this prospectus and any accompanying prospectus supplement in its entirety, and as the same may be amended, supplemented or superseded from time to time by our filings under the Exchange Act. For more information, see the sections titled “Where You Can Find Additional Information” and “Incorporation of Certain Documents by Reference” of this prospectus. These risks could materially and adversely affect our business, financial condition or operating results and could result in a partial or complete loss of your investment. Furthermore, additional risks and uncertainties not presently known to us, or that we currently deem immaterial, may also affect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5"/>
      <w:bookmarkEnd w:id="1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intend to use the net proceeds from the sale of the securities as set forth in the applicable prospectus supplement. </w:t>
      </w:r>
      <w:r>
        <w:rPr>
          <w:rFonts w:ascii="Times New Roman;Times;Serif" w:hAnsi="Times New Roman;Times;Serif"/>
          <w:b w:val="false"/>
          <w:i w:val="false"/>
          <w:caps w:val="false"/>
          <w:smallCaps w:val="false"/>
          <w:sz w:val="20"/>
        </w:rPr>
        <w:t>Unless otherwise set forth in a prospectus supplement, we will not receive any proceeds in connection with any sale of securities by a selling securityholder.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6"/>
      <w:bookmarkEnd w:id="19"/>
      <w:r>
        <w:rPr>
          <w:rFonts w:ascii="Times New Roman;Times;Serif" w:hAnsi="Times New Roman;Times;Serif"/>
          <w:b/>
          <w:i w:val="false"/>
          <w:caps w:val="false"/>
          <w:smallCaps w:val="false"/>
          <w:sz w:val="20"/>
        </w:rPr>
        <w:t>DESCRIPTION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summary descriptions of the securities we or selling securityholders may offer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7"/>
      <w:bookmarkEnd w:id="20"/>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the Company’s securities and is not intended to be a complete summary of the rights and preferences of such securities. The Company’s Amended and Restated Certificate of Incorporation, as amended (the “Certificate of Incorporation”), and Third Amended and Restated Bylaws (the “Bylaws”) are incorporated by reference into this prospectus. Read the applicable provisions of Delaware law, the Certificate of Incorporation, the Bylaws and the Certificates of Designations (as defined herein) in their entirety for a complete description of the rights and preferences of the Company’s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T1 Energy’s authorized capital stock consists of (i) 500,000,000 shares of common stock, par value $0.01 per share (the “common stock”), and (ii) 10,000,000 shares of preferred stock, par value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prior dividend rights of the holders of any preferred stock of T1 Energy and any other class or series of shares having a preference as to dividends over common stock, holders of shares of common stock are entitled to receive dividends when, as and if declared by the T1 Energy board of directors, out of funds legally available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Each outstanding share of common stock is entitled to one vote per share on each matter to be voted on by the holders of common stock. The holders of common stock are not entitled to cumulative voting of their shares in elections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Rights.</w:t>
      </w:r>
      <w:r>
        <w:rPr>
          <w:rFonts w:ascii="Times New Roman;Times;Serif" w:hAnsi="Times New Roman;Times;Serif"/>
          <w:b w:val="false"/>
          <w:i w:val="false"/>
          <w:caps w:val="false"/>
          <w:smallCaps w:val="false"/>
          <w:sz w:val="20"/>
        </w:rPr>
        <w:t xml:space="preserve"> In the event of any liquidation, dissolution or winding up (either voluntary of involuntary) of T1 Energy, the holders of common stock will be entitled to receive the assets and funds of T1 Energy available for distribution in proportion to the number of shares held by them, respectively, without regard to class, after payments to creditors and subject to any related preferential rights of any holders of any preferred stock of T1 Energy that at the time may be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common stock is currently listed on the NYSE under the symbol “TE.”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Certificate of Incorporation expressly authorizes T1 Energy’s board of directors to provide for the issuance of all or any preferred stock in one or more classes or series, and to fix for each such class or series such voting powers, full or limited, or no voting powers, and such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T1 Energy; or (iv) convertible into, or exchangeable for, shares of any other class or classes of stock, or of any other series of the same or any other class or classes of stock, of T1 Energy at such price or prices or at such rates of exchange and with such adjustments; all as may be stated in such resolution or resolutions. The issuance of preferred stock may have the effect of diluting the earnings per share and book value per share of common stock. In addition, the T1 Energy board of directors may issue preferred stock with voting rights or conversion rights that, if exercised, could adversely affect the voting power of the holders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Number and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filed the certificates of designations (the “Certificates of Designations”), designating (i) 1,600,000 shares of our preferred stock as “Series B Convertible Non-Voting Preferred Stock,” par value $0.01 per share, and (ii) 5,000,000 shares of our preferred stock as “Series B-1 Convertible Non-Voting Preferred Stock,” par value $0.01 per share. The number of shares of each such series may be increased or decreased by resolution of the T1 Energy board of directors; provided that no decrease shall reduce the number of shares of the respective series to a number less than that of the shares then outstanding. On October 31, 2025, T1 Energy entered into an Amended and Restated Stock Purchase Agreement (the “Stock Purchase Agreement”) with certain purchasers pursuant to which, in partial consideration for the redemption and cancellation of all then-issued and outstanding shares of T1 Energy’s Convertible Series A Preferred Stock, par value $0.01 per share (the “Series A Preferred Stock”), the purchasers agreed to purchase (i) 21,504,901 shares of common stock and (ii) 1,600,000 shares of T1 Energy’s Series B Convertible Non-Voting Preferred Stock, par value $0.01 per share (the “Series B Preferred Stock”). The purchasers also agreed to purchase 5,000,000 shares of T1 Energy’s Series B-1 Convertible Non-Voting Preferred Stock, par value $0.01 per share (the “Series B-1 Preferred Stock” and together with the Series B Preferred Stock, the “Outstanding Preferred Stock,” which represent all of the shares of preferred stock currently outstanding), at a price of $10.00 per share of Series B-1 Preferred Stock, for aggregate gross proceeds to T1 Energy of $50.0 million. The shares of Outstanding Preferred Stock have all of the rights, preferences and privileges set forth below and as more fully described in the Certificates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Ranking; Liquidation Preference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Preferred Stock issued under the Stock Purchase Agreement ranks senior to the common stock but junior to all existing and future debt obligations of T1 Energy and has a liquidation preference equal to $10.00 per share of Outstanding Preferred Stock plus accrued but unpaid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or involuntary liquidation, subject to the rights of holders of any senior securities and after satisfaction of all liabilities and obligations to creditors of T1 Energy, before any distribution is made to holders of shares of junior securities, the holders of the Outstanding Preferred Stock will be entitled to receive liquidating distributions in the amount that is the greater of (i) the aggregate liquidation preference per share of Outstanding Preferred Stock and (ii) the amount of cash to which a holder would be entitled to receive in a liquidation with respect to such shares if they had been converted to common stock immediately prior to such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then-issued Series B Preferred Stock shall be convertible, at the option of the holders thereof, into shares of common stock (the “Underlying Shares”), up to an aggregate of 9,411,764 shares of common stock, in whole and not in part (subject to certain exceptions set forth in the Series B Certificate of Designations), based on a conversion price of $1.70 per share of common stock, assuming no accrued and unpaid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then-issued Series B-1 Preferred Stock shall be convertible, at the option of the holders thereof, into Underlying Shares, up to an aggregate of 26,315,789 shares of common stock, in whole and not in part (subject to certain exceptions set forth in the Series B-1 Certificate of Designations), based on the conversion price of $1.90 per share of common stock if the 10-Day VWAP (as defined in the Series B-1 Certificate of Designations) of the common stock immediately prior to the conversion date is $2.50 or more per share of common stock (being the greater of the conversion prices for the Series B-1 Preferred Stock), and assuming no accrued and unpaid dividends; the conversion price of the Series B-1 Preferred Stock will be reduced to $1.70 per share of common stock in the event that the 10-Day VWAP of the common stock immediately prior to the conversion date is less than $2.50 per share of common stock. Upon such reduction of the conversion price, each share of the then-issued Series B-1 Preferred Stock will be convertible into approximately 5.88 shares of common stock, up to an aggregate of approximately 29,411,764 shares of common stock, in whole and not in part (subject to certain exceptions set forth in the Series B-1 Certificate of Designations), based on the reduced conversion price (subject to dilution adjustments), and holders can expect to receive additional Underlying Shares as compared to the conversion price of $1.90 for the Series B-1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between the date of the Series B-1 Certificate of Designations and one year following the issuance of the Series B-1 Preferred Stock, T1 Energy issues any shares of any series of preferred stock with a conversion price for converting shares of such series of preferred stock into shares of common stock that is lower than the then applicable Series B-1 Conversion Price (such lower conversion price being referred to as the “Lower Conversion Price”) the Series B-1 Conversion Price shall automatically be adjusted to equal the Lower Conversion Price; provided, however, that in no event shall the Lower Conversion Price be adjusted to an amount below $1.05.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case of a stock split or similar event effected by T1 Energy, the conversion price shall be proportionally decreased so that the number of shares of common stock issuable on conversion of each share of such series shall be increased in proportion to such increase in the aggregate number of shares of common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Outstanding Preferred Stock is prohibited from converting shares of Outstanding Preferred Stock into shares of common stock if, as a result of such conversion, such holder, together with its affiliates, would beneficially own more than 19.99% of the total number of shares of common stock issued and outstanding immediately after giving effect to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of control event in which T1 Energy is not the surviving or resulting corporation, the holders of Outstanding Preferred Stock will be entitled to receive the greater of: (i) the aggregate liquidation preference of the Outstanding Preferred Stock outstanding, including any accrued and unpaid dividends thereon to the closing date of the change of control event, and (ii) the amount of consideration that would be payable or issuable in such change of control transaction to a holder of the number of shares of common stock into which the shares of Outstanding Preferred Stock are convertible by their terms as of the closing date of the change of control event, provided that the holders will receive the same form of consideration to be received by holders of common stock in such change of control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Stock has a maturity date of December 23, 2027 (the “Series B Maturity Date”). On the Series B Maturity Date, T1 Energy shall redeem the then-outstanding Series B Preferred Stock at $10.00 per share (up to an aggregate amount of $16.0 million assuming all shares of Series B Preferred Stock are fully issued and outstanding at the time of redemption) plus any accrued and unpaid dividends. Prior to the Series B Maturity Date, the Series B Preferred Stock will not be redeemable. In any case of redemption of shares of Series B Preferred Stock, T1 Energy shall, not less than 30 nor more than 60 days before the Series B Maturity Date, send to each holder notice of its intention to redeem such shares of Series B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 Preferred Stock has a maturity date of December 23, 2027 (the “Series B-1 Maturity Date”). On the Series B-1 Maturity Date, T1 Energy shall redeem the then-outstanding Preferred Stock at $10.00 per share (up to an aggregate amount of $50.0 million assuming all shares of Series B-1 Preferred Stock are fully issued and outstanding at the time of redemption) plus any accrued and unpaid dividends. Prior to the Series B-1 Maturity Date, the Series B-1 Preferred Stock will not be redeemable. In any case of redemption of shares of Series B-1 Preferred Stock, T1 Energy shall, not less than 30 nor more than 60 days before the Series B-1 Maturity Date, send to each holder notice of its intention to redeem such shares of Series B-1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Preferred Stock is not subject to any restriction on the repurchase or redemption of shares T1 Energy due to an arrearage in the payment of dividends or sinking fund installments.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Preferred Stock carries a dividend rate of 6%, accruing on their issuance and payable in arrears (i) on the dividend date 18 months after their issuance (ii) every six months after such dividend payment date. Dividends may be payable in cash, securities or other property as may be determined by T1 Energy’s board of directors or any of its duly authorized committees. Any dividends will be paid net of any required withholding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customary representations and warranties, closing conditions and terms were included in the Stock Purchase Agreement and the Certificates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7701(a)(51)(E)(iii) of the Internal Revenue Code of 1986, as amended (the “Code”), an entity that is a publicly traded company or a subsidiary of a publicly traded company is a foreign-influenced entity if, during the taxable year, one or more Specified Foreign Entities that are each required to report their beneficial ownership under Rule 13d-3 of the Exchange Act own, in the aggregate, not less than 40% of such entity (the “Aggregated Equity 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T1 Energy’s Certificate of Incorporation was amended to establish a restriction of ownership of T1 Energy’s capital stock by Specified Foreign Entities in order to ensure ongoing compliance with the Aggregated Equity Test. Under T1 Energy’s Certificate of Incorporation (as so amended), Specified Foreign Entities are not permitted to hold 4.9% or more of the outstanding shares representing T1 Energy’s common stock or preferred stock, unless permitted by T1 Energy’s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T1 Energy is authorized to effect any and all measures and to make any and all determinations reasonably necessary or desirable (consistent with applicable laws, the Certificate of Incorporation and the Bylaws) to, without limitation:</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require the owner(s) of shares of T1 Energy’s common stock or preferred stock to confirm and/or provide evidence that he, she or it is not a Specified Foreign Entity and suspend voting, dividend and other distribution rights with respect to any shares held by such owner(s) until such confirmation and/or evidence is received;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maintain the share transfer records of T1 Energy in such a manner so that the percentage of any class of shares of T1 Energy’s common stock or preferred stock that is owned by Specified Foreign Entities can be determined and confirmed;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obtain, as a condition precedent to the transfer on the records of T1 Energy, representations, citizenship certificates and/or other evidence as to the identity and citizenship status from all transferees (and from any recipient upon original issuance) of any shares and, if such transferee (or recipient) is acting as a fiduciary or nominee for another owner, such other owner, and the registration of transfer (or original issuance) shall be denied upon refusal of such transferee (or recipient) to make such representations and/or furnish such citizenship certificates or other evidence.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 of T1 Energy’s common or preferred stock that does not comply with the Certificate of Incorporation will be void and ineffective as against T1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“Specified Foreign Entity” or “Specified Foreign Entities” means a specified foreign entity, as defined in Section 7701(a)(51)(B) of the Code and any guidance published thereunder (including, for the avoidance of doubt, any foreign-controlled entity, as defined in Section 7701(a)(51)(C) of the Code and any guidance published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has entered into a registration rights agreement with Trina pursuant to which we granted Trina certain registration rights with respect to the shares of common stock that are owned by Trina.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Stock Purchase Agreement, T1 Energy agreed to provide certain registration rights with respect to the securities issued pursuant to such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T1 Energy’s governing documents and the Delaware General Corporation Law (the “DGCL”) could have the effect of delaying, deferring or discouraging another party from acquiring T1 Energy. These provisions encourage persons considering unsolicited tender offers or other unilateral takeover proposals to negotiate with the T1 Energy board of directors rather than pursue non-negotiated takeover attempts. These provisions include the below summarized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DGCL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will be subject to the provisions of Section 203 of the DGCL (“Section 203”). In general, Section 203 prohibits a publicly held Delaware corporation from engaging in a “business combination” with an “interested stockholder” for a period of three years following the date of the transaction in which such person becomes an interested stockholder, unless: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prior to such time the board of directors of the corporation approved either the business combination or the transaction which resulted in the stockholder becoming an interested stockholder;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upon consummation of the transaction which resulted in the stockholder becoming an interested stockholder, the interested stockholder owned at least 85% of the voting share of the corporation outstanding at the time the transaction commenced, excluding for purposes of determining the voting shares outstanding (but not the outstanding voting shares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 or subsequent to such time the business combination is approved by the board of directors and authorized at an annual or special meeting of stockholders, and not by written consent, by the affirmative vote of at least 66 2/3% of the outstanding voting shares which is not owned by the interested stockholder.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shares of T1 Energy and any entity or person affiliated with or controlling or controlled by the entity or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Composition and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any director or the entire board of directors may be removed from office at any time, but only by the affirmative vote of the holders of at least a majority in voting power of the issued and outstanding capital stock of T1 Energy entitled to vote in the election of directors. Any director serving on a committee of the board may be removed from such committee at any time by the board of directors. T1 Energy’s board of directors has the power to fix the number of directors by resolution, subject to the requirements of T1 Energy’s governing documents that the T1 Energy board of directors be not fewer than five nor more than 12. Vacancies on the board or any committee resulting from the death, resignation, retirement, disqualification or removal of a director, or from an increase in the number of directors constituting the board or such committee, may be filled only by a majority of the directors then in office, even though less than a quorum, or by a sole remaining director, and the directors chosen in this manner, in the case of the board of directors, will hold office until the next annual election and until a successor is duly elected and qualified, or until his earlier death, resignation, retirement, disqualification or removal and, in the case of any committee of the board, will hold office until a successor is duly appointed by the board of directors or until his earlier death, resignation, retirement, disqualification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in order for a stockholder to propose business at an annual meeting of stockholders, a stockholder’s notice must be delivered to the secretary at the principal executive offices of T1 Energy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further provide that in order for a stockholder to make a nomination at an annual meeting of stockholders, a stockholder’s notice must be delivered to the secretary at the principal executive offices of T1 Energy (i) in the case of an annual meeting of stockholders,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 and (ii) in the case of a special meeting of stockholders called for the purpose of electing directors, not later than the close of business on the 10th day following the day on which notice of the date of the special meeting of stockholders was mailed or public disclosure of the date of the special meeting of stockholders was made, whichever first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Stockholder Action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Certificate of Incorporation provides that any action required or permitted to be taken by the stockholders of T1 Energy must be effected at a duly called annual or special meeting of stockholders of T1 Energy, and the ability of the stockholders to consent in writing to the taking of any action is specifically denied.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Bylaws provide that special meetings of stockholders, for any purpose or purposes, may be called only by (i) the board of directors, (ii) the chair of the board of directors, if there be one, or (iii) a stockholder, or group of stockholders holding more than 20% of the total voting power of the outstanding shares of the capital stock of T1 Energy issued and outstanding and entitled to vote on the matter for which such special meeting of stockholders is called if such stockholder, or group of stockholders, have dated, signed and delivered to the secretary a written demand for such special meeting of stockholders at least 90 days prior to the proposed date for such special meeting of stockholders, describing each matter of business desired to be brought before the special meeting of stockholders, the reasons for conducting such business, the text of any proposal or business to be considered, and the information required by the notice provisions and of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Stockholders’ Derivative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share thereafter devolved by operation of law. Unless T1 Energy consents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our common stock and preferred stock will be available for future issuance without any further vote or action T1 Energy stockholders. These additional shares may be utilized for a variety of corporate purposes, including future public offerings to raise additional capital, corporate acquisitions and employee benefit plans. The existence of authorized but unissued shares of our common stock and preferred stock could render more difficult or discourage an attempt to obtain control over T1 Energy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Approval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shares entitled to vote thereon is required to amend a corporation’s certificate of incorporation, unless the corporation’s certificate of incorporation or bylaws requires a greater percentage. The DGCL does not specify a required vote for stockholder to amend a corporation’s bylaws and, therefore, the default voting standard set forth in a corporation’s bylaws will apply to votes to amend the bylaws unless the certificate of incorporation or bylaws provide otherwise. In addition, the DGCL provides that a board of directors may amend the bylaws without further stockholder action if authorized to do so by the corporation’s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Energy’s Certificate of Incorporation provides that the affirmative vote of at least a majority of the entire board of directors or the affirmative vote of holders of at least two thirds of the voting power of the shares entitled to vote at an election of directors will be required to adopt, amend, alter, or repeal the bylaws. In addition, T1 Energy’s Certificate of Incorporation provides that the affirmative vote of the holders of at least two thirds of the voting power of the shares entitled to vote at an election of directors will be required to amend, alter, change or repeal, or to adopt any provision as part of the Certificate of Incorporation inconsistent with the purpose and intent of certain provisions of the Certificate of Incorporation, including those governing the limitation of liability of directors, indemnification of directors and officers, stockholders’ action by written consent, the amendment of T1 Energy’s Bylaws by the board of directors, and the required stockholder vote for the amendment of the foregoing provisions. This requirement of a supermajority vote to approve amendments to our bylaws and certificate of incorporation could enable a minority of our stockholders to exercise veto power over any such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have the effect of deterring hostile takeovers or delaying or preventing changes in control of T1 Energy or its management, such as a merger, reorganization or tender offer. These provisions are intended to enhance the likelihood of continued stability in the composition of the board of directors and its policies and to discourage certain types of transactions that may involve an actual or threatened acquisition of T1 Energy. These provisions are designed to reduce T1 Energy’s vulnerability to an unsolicited acquisition proposal. The provisions are also intended to discourage certain tactics that may be used in proxy fights. However, such provisions could have the effect of discouraging others from making tender offers for T1 Energy’s shares and, as a consequence, they also may inhibit fluctuations in the market price of common stock that could result from actual or rumored takeover attempts. Such provisions may also have the effect of preventing changes in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of Personal Liability of Directors/Officers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to the full extent permitted by the DGCL, will limit or eliminate the liability of T1 Energy directors made a party to any proceeding to T1 Energy or its stockholders for monetary damages for breach of fiduciary duty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no such elimination of liability is permitted (i) for any breach of the director’s duty of loyalty to T1 Energy or its stockholders, (ii) for acts or omissions not in good faith or which involve intentional misconduct or a knowing violation of law, (iii) for unlawful payment of dividend or unlawful share purchase or redemption or (iv) for any transaction from which the director derived an improper personal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Forum Selection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T1 Energy Certificate of Incorporation and Bylaws provide that unless T1 Energy consents in writing to the selection of an alternative forum (an “Alternative Forum Consent”), the Court of Chancery of the State of Delaware will be the sole and exclusive forum for (i) any derivative action or proceeding brought on behalf of T1 Energy, (ii) any action asserting a claim of breach of a duty (including any fiduciary duty) owed by any current or former director, officer, stockholder, employee or agent of T1 Energy to T1 Energy or T1 Energy’s stockholders, (iii) any action asserting a claim against T1 Energy or any current or former director, officer, stockholder, employee or agent of T1 Energy arising out of or relating to any provision of the DGCL, the T1 Energy Certificate of Incorporation or Bylaws (each, as in effect from time to time), or (iv) any action asserting a claim against T1 Energy or any current or former director, officer, stockholder, employee or agent of T1 Energy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will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T1 Energy gives an Alternative Forum Consent, the federal district courts of the United States of America will, to the fullest extent permitted by law, be the sole and exclusive forum for the resolution of any complaint asserting a cause of action arising under the Securities Act and the Exchange Act. Any person or entity purchasing, otherwise acquiring or holding any interest in shares of capital stock of T1 Energy will be deemed to have notice of and consented to these forum selection provisions. The existence of any prior Alternative Forum Consent will not act as a waiver of T1 Energy’s ongoing consent right with respect to any current or future actions or claims. Our stockholders will not be deemed to have waived our compliance with the federal securities laws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Section 27 of the Exchange Act creates exclusive federal jurisdiction over all claims brought to enforce any duty or liability created by the Exchange Act or the rules and regulations thereunder and T1 Energy’s Bylaws provide that the federal district courts of the United States of America will, to the fullest extent permitted by law, be the sole and exclusive forum for resolving any complaint asserting a cause of action arising under the Exchange Act. Accordingly, actions by our stockholders to enforce any duty or liability created by the Exchange Act or the rules and regulations thereunder must be brought in federal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the forum selection clause in T1 Energy’s Certificate of Incorporation and Bylaws may impose additional litigation costs on stockholders in pursuing any such claims, particularly if the stockholders do not reside in or near the State of Delaware. Additionally, the forum selection clause in T1 Energy’s Certificate of Incorporation and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to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capital stock is Continental Stock Transfer &amp;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8"/>
      <w:bookmarkEnd w:id="21"/>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debt securities in one or more series, which may be senior debt securities or subordinated debt securities and which may be convertible into another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the indenture, dated as of December 16, 2025 (the “indenture”), between us and U.S. Bank Trust Company, National Association, as trustee. A copy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title and aggregate principal amount of the debt securities and any limit on the aggregate principal amount of such series;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left"/>
              <w:rPr/>
            </w:pPr>
            <w:r>
              <w:rPr/>
              <w:t>any applicable subordination provisions for any subordinated debt securities;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4"/>
        <w:gridCol w:w="9797"/>
      </w:tblGrid>
      <w:tr>
        <w:trPr/>
        <w:tc>
          <w:tcPr>
            <w:tcW w:w="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w:t>
            </w:r>
          </w:p>
        </w:tc>
        <w:tc>
          <w:tcPr>
            <w:tcW w:w="9797" w:type="dxa"/>
            <w:tcBorders/>
            <w:vAlign w:val="center"/>
          </w:tcPr>
          <w:p>
            <w:pPr>
              <w:pStyle w:val="TableContents"/>
              <w:bidi w:val="0"/>
              <w:spacing w:before="0" w:after="283"/>
              <w:jc w:val="left"/>
              <w:rPr/>
            </w:pPr>
            <w:r>
              <w:rPr/>
              <w:t>the maturity date(s) or method for determining same;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2"/>
        <w:gridCol w:w="9812"/>
      </w:tblGrid>
      <w:tr>
        <w:trPr/>
        <w:tc>
          <w:tcPr>
            <w:tcW w:w="7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w:t>
            </w:r>
          </w:p>
        </w:tc>
        <w:tc>
          <w:tcPr>
            <w:tcW w:w="9812" w:type="dxa"/>
            <w:tcBorders/>
            <w:vAlign w:val="center"/>
          </w:tcPr>
          <w:p>
            <w:pPr>
              <w:pStyle w:val="TableContents"/>
              <w:bidi w:val="0"/>
              <w:spacing w:before="0" w:after="283"/>
              <w:jc w:val="left"/>
              <w:rPr/>
            </w:pPr>
            <w:r>
              <w:rPr/>
              <w:t>the interest rate(s) or the method for determining same;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dates on which interest will accrue or the method for determining dates on which interest will accrue and dates on which interest will be payable and whether interest will be payable in cash, additional securities or some combination thereof;</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debt securities are convertible or exchangeable into other securities and any related terms and conditions;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0"/>
        <w:gridCol w:w="9704"/>
      </w:tblGrid>
      <w:tr>
        <w:trPr/>
        <w:tc>
          <w:tcPr>
            <w:tcW w:w="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w:t>
            </w:r>
          </w:p>
        </w:tc>
        <w:tc>
          <w:tcPr>
            <w:tcW w:w="9704" w:type="dxa"/>
            <w:tcBorders/>
            <w:vAlign w:val="center"/>
          </w:tcPr>
          <w:p>
            <w:pPr>
              <w:pStyle w:val="TableContents"/>
              <w:bidi w:val="0"/>
              <w:spacing w:before="0" w:after="283"/>
              <w:jc w:val="left"/>
              <w:rPr/>
            </w:pPr>
            <w:r>
              <w:rPr/>
              <w:t>redemption or early repayment provisions;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635"/>
        <w:gridCol w:w="9429"/>
      </w:tblGrid>
      <w:tr>
        <w:trPr/>
        <w:tc>
          <w:tcPr>
            <w:tcW w:w="14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w:t>
            </w:r>
          </w:p>
        </w:tc>
        <w:tc>
          <w:tcPr>
            <w:tcW w:w="9429" w:type="dxa"/>
            <w:tcBorders/>
            <w:vAlign w:val="center"/>
          </w:tcPr>
          <w:p>
            <w:pPr>
              <w:pStyle w:val="TableContents"/>
              <w:bidi w:val="0"/>
              <w:spacing w:before="0" w:after="283"/>
              <w:jc w:val="left"/>
              <w:rPr/>
            </w:pPr>
            <w:r>
              <w:rPr/>
              <w:t>authorized denominations;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left"/>
              <w:rPr/>
            </w:pPr>
            <w:r>
              <w:rPr/>
              <w:t>if other than the principal amount, the principal amount of debt securities payable upon acceleration;</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place(s) where payment of principal and interest may be made, where debt securities may be presented and where notices or demands upon the company may be made;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form or forms of the debt securities of the series including such legends as may be required by applicable law;</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debt securities will be issued in whole or in part in the form of one or more global securities and the date as of which the securities are dated if other than the date of original issuance;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6"/>
        <w:gridCol w:w="9893"/>
      </w:tblGrid>
      <w:tr>
        <w:trPr/>
        <w:tc>
          <w:tcPr>
            <w:tcW w:w="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3" w:type="dxa"/>
            <w:tcBorders/>
            <w:vAlign w:val="center"/>
          </w:tcPr>
          <w:p>
            <w:pPr>
              <w:pStyle w:val="TableContents"/>
              <w:bidi w:val="0"/>
              <w:spacing w:before="0" w:after="283"/>
              <w:jc w:val="left"/>
              <w:rPr/>
            </w:pPr>
            <w:r>
              <w:rPr/>
              <w:t>whether the debt securities are secured and the terms of such security;</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left"/>
              <w:rPr/>
            </w:pPr>
            <w:r>
              <w:rPr/>
              <w:t>the amount of discount or premium, if any, with which the debt securities will be issued;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left"/>
              <w:rPr/>
            </w:pPr>
            <w:r>
              <w:rPr/>
              <w:t>any covenants applicable to the particular debt securities being issued;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additions or changes in the defaults and events of default applicable to the particular debt securities being issued;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guarantors of each series, if any, and the extent of the guarantees (including provisions relating to seniority, subordination and release of the guarantees), if any;</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currency, currencies or currency units in which the purchase price for, the principal of and any premium and any interest on, the debt securities will be payable;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time period within which, the manner in which and the terms and conditions upon which we or the holders of the debt securities can select the payment currency;</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obligation or right to redeem, purchase or repay debt securities under a sinking fund, amortization or analogous provision;</w:t>
            </w:r>
          </w:p>
        </w:tc>
      </w:tr>
    </w:tbl>
    <w:p>
      <w:pPr>
        <w:pStyle w:val="TextBody"/>
        <w:bidi w:val="0"/>
        <w:spacing w:before="0" w:after="0"/>
        <w:ind w:left="1080" w:right="0" w:hanging="36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pPr>
            <w:r>
              <w:rPr/>
              <w:t>any restriction or conditions on the transferability of the debt securities;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6"/>
        <w:gridCol w:w="9990"/>
      </w:tblGrid>
      <w:tr>
        <w:trPr/>
        <w:tc>
          <w:tcPr>
            <w:tcW w:w="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left"/>
              <w:rPr/>
            </w:pPr>
            <w:r>
              <w:rPr/>
              <w:t>provisions granting special rights to holders of the debt securities upon occurrence of specified events;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additions or changes relating to compensation or reimbursement of the trustee of the series of debt securities;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provisions relating to the modification of the indenture both with and without the consent of holders of debt securities issued under the indenture and the execution of supplemental indentures for such series;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other terms of the debt securities (which terms shall not be inconsistent with the provisions of the TIA, but may modify, amend, supplement or delete any of the terms of the indenture with respect to such series of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federal income tax consequences and special considerations, if any, applicable to any such series will be described in an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shall be construed in accordance with and governed by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m_001"/>
      <w:bookmarkEnd w:id="22"/>
      <w:r>
        <w:rPr>
          <w:rFonts w:ascii="Times New Roman;Times;Serif" w:hAnsi="Times New Roman;Times;Serif"/>
          <w:b/>
          <w:i w:val="false"/>
          <w:caps w:val="false"/>
          <w:smallCaps w:val="false"/>
          <w:sz w:val="20"/>
        </w:rPr>
        <w:t>DESCRIPTION OF EXISTING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terms of the Company’s existing warrants is not intended to be a complete summary of the rights and preferences of such securities. Read the applicable provisions of the Certificate of Incorporation, the Bylaws and the Warrant-related documents described herein in their entirety for a complete description of the rights and preferences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public warrants to purchase 14,674,894 shares of common stock (the “Public Warrants”), private warrants to purchase 9,950,000 shares of common stock (the “Private Warrants”) and a penny warrant to purchase 7,000,000 shares of common stock (the “Penny Warrant”) were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 and Private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and Private Warrants are issued pursuant to that certain amended and restated warrant agreement, dated July 7, 2021 (as amended, the “Amended Warrant Agreement”), by and among Alussa Energy Acquisition Corp., a Cayman Islands exempted company (“Alussa”), FREYR Battery, a public limited liability company (société anonyme) incorporated under the laws of Luxembourg, T1 Energy and Continental Stock Transfer and Trust Company. The Amended Warrant Agreement is incorporated by reference into this prospectus. You should review the copy of the Amended Warrant Agreement for a complete description of the terms and conditions applicable to the Public Warrants and Private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entitles the registered holder to purchase one share of common stock at a price of $11.50 per share, subject to adjustment as discussed below, at any time. Pursuant to the Amended Warrant Agreement, a warrant holder may exercise its Public Warrants only for a whole number of shares of common stock. This means that only a whole warrant may be exercised at any given time by a warrant holder. The Public Warrants will expire on July 9, 2026 at 5:00 p.m., New York City time,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will not be obligated to deliver any common stock pursuant to the exercise of a Public Warrant and will have no obligation to settle such Public Warrant exercise unless a registration statement under the Securities Act with respect to the common stock underlying the Public Warrant is then effective and a prospectus relating thereto is current, subject to T1 Energy satisfying its obligations described below with respect to registration. No Public Warrant will be exercisable for cash or on a cashless basis, and T1 Energy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Public Warrant will not be entitled to exercise such Public Warrant and such Public Warrant may have no value and expire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T1 Energy may redeem the outstanding Public Warrants:</w:t>
      </w:r>
    </w:p>
    <w:p>
      <w:pPr>
        <w:pStyle w:val="TextBody"/>
        <w:bidi w:val="0"/>
        <w:spacing w:before="0" w:after="0"/>
        <w:ind w:left="720" w:right="0" w:hanging="36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b w:val="false"/>
              </w:rPr>
            </w:pPr>
            <w:r>
              <w:rPr>
                <w:b w:val="false"/>
              </w:rPr>
              <w:t>in whole and not in part;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51"/>
        <w:gridCol w:w="9532"/>
      </w:tblGrid>
      <w:tr>
        <w:trPr/>
        <w:tc>
          <w:tcPr>
            <w:tcW w:w="1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pPr>
            <w:r>
              <w:rPr/>
              <w:t>●</w:t>
            </w:r>
          </w:p>
        </w:tc>
        <w:tc>
          <w:tcPr>
            <w:tcW w:w="9532" w:type="dxa"/>
            <w:tcBorders/>
            <w:vAlign w:val="center"/>
          </w:tcPr>
          <w:p>
            <w:pPr>
              <w:pStyle w:val="TableContents"/>
              <w:bidi w:val="0"/>
              <w:spacing w:before="0" w:after="283"/>
              <w:jc w:val="left"/>
              <w:rPr>
                <w:b w:val="false"/>
              </w:rPr>
            </w:pPr>
            <w:r>
              <w:rPr>
                <w:b w:val="false"/>
              </w:rPr>
              <w:t>at a price of $0.01 per warrant;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upon a minimum of 30 days’ prior written notice of redemption, which we refer to as the 30-day redemption period, to each warrant holder;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 xml:space="preserve">if, and only if, the last reported sale price of the shares of common stock equals or exceeds $18.00 per share (as adjusted for share splits, share capitalizations, rights issuances, subdivisions, reorganizations, recapitalizations and the like) for any 20 trading days within a 30-trading day period ending on the third trading day prior to the date on which T1 Energy sends the notice of redemption to the warrant holders.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established the last of the redemption criterion discussed above to prevent a redemption call unless there is at the time of the call a significant premium to the Public Warrant exercise price. If the foregoing conditions are satisfied and T1 Energy issues a notice of redemption of the Public Warrants, each warrant holder will be entitled to exercise his, her or its Public Warrant prior to the scheduled redemption date. However, the price of the common stock may fall below the $18.00 redemption trigger price as well as the $11.50 Public Warrant exercise price after the redemption notice is issued. T1 Energy will not redeem the Public Warrants unless a registration statement under the Securities Act covering the shares of common stock issuable upon exercise of the Public Warrants is effective and a current prospectus relating to those shares of common stock is available throughout the 30-day redemption period, except if the Public Warrants may be exercised on a cashless basis and such cashless exercise is exempt from registration under the Securities Act. If and when the Public Warrants become redeemable by T1 Energy, T1 Energy may not exercise its redemption right if the issuance of shares upon exercise of the Public Warrants is not exempt from registration or qualification under applicable state blue sky laws or it is unable to effect such registration or qualification.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T1 Energy calls the Public Warrants for redemption as described above, T1 Energy’s management will have the option to require all holders that wish to exercise Public Warrants to do so on a “cashless basis.” In determining whether to require all holders to exercise their Public Warrants on a “cashless basis,” T1 Energy’s management will consider, among other factors, its cash position, the number of Public Warrants that are outstanding and the dilutive effect on its stockholders of issuing the maximum number of shares of common stock issuable upon the exercise of its Public Warrants. In such event, each holder would pay the exercise price by surrendering the Public Warrants for that number of shares of common stock equal to the quotient obtained by dividing (x) the product of the number of shares of common stock underlying the Warrants (as defined in the Amended Warrant Agreement), multiplied by the excess of the “fair market value” (as defined in the Amended Warrant Agreement) over the exercise price of the Warrants by (y) the fair market value. The “fair market value” shall mean the average reported last sale price of the common stock for the 10 trading days ending on the third trading day prior to the date on which the notice of redemption is sent to the holders of the Public Warrants, provided that in all cases, the exercise price shall correspond to at least the accounting par value of the common stock. If T1 Energy takes advantage of this option, the notice of redemption will contain the information necessary to calculate the number of common stock to be received upon exercise of the Public Warrants, including the “fair market value” in such case. Requiring a cashless exercise in this manner will reduce the number of shares to be issued and thereby lessen the dilutive effect of a Public Warrant redemption. If T1 Energy’s management calls the Public Warrants for redemption and its management does not take advantage of this option, Alussa Energy Sponsor LLC (the “Sponsor”) and its permitted transferees would still be entitled to exercise their Private Warrants for cash or on a cashless basis using the same formula described above that other warrant holders would have been required to use had all warrants holders been required to exercise their Public Warrants on a cashless basis, as described in more detail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T1 Energy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common stock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issued and outstanding common stock is increased by a capitalization payable in, or by a sub-division of common stock or other similar event, then, on the effective date of such capitalization, sub-division or similar event, the number of shares of common stock issuable on exercise of each Public Warrant will be increased in proportion to such increase in the issued and outstanding shares of common stock. A rights offering to holders of common stock entitling holders to purchase shares of common stock at a price less than the fair market value will be deemed a capitalization of a number of shares of common stock equal to the product of (i) the number of common stock actually sold in such rights offering (or issuable under any other equity securities sold in such rights offering that are convertible into or exercisable for shares of common stock) multiplied by (ii) one minus the quotient of (x) the price per share of our common stock paid in such rights offering divided by (y) the fair market value. For these purposes (i)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(ii) fair market value means the volume weighted average price of our common stock as reported during the ten trading day period ending on the trading day prior to the first date on which the shares of common stock trade on the applicable exchange or in the applicable market, regular way, without the right to receive such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issued and outstanding shares of common stock is decreased by a consolidation, combination, reverse share split or reclassification of common stock or other similar event, then, on the effective date of such consolidation, combination, reverse share split, reclassification or similar event, the number of shares of common stock issuable on exercise of each Public Warrant will be decreased in proportion to such decrease in issued and outstanding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issued and outstanding common stock (other than those described above or that solely affects the par value of such shares of common stock), or in the case of any merger or consolidation of T1 Energy with or into another corporation (other than a consolidation or merger in which T1 Energy is the continuing corporation and that does not result in any reclassification or reorganization of T1 Energy’s issued and outstanding common stock), or in the case of any sale or conveyance to another corporation or entity of the assets or other property of T1 Energy as an entirety or substantially as an entirety in connection with which T1 Energy is liquidated and dissolved, the holders of the Public Warrants will thereafter have the right to purchase and receive, upon the basis and upon the terms and conditions specified in the Public Warrants and in lieu of T1 Energy’s common stock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Alussa in connection with redemption rights held by shareholders of Alussa as provided for in Alussa’s amended and restated memorandum and articles of association)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Amended Warrant Agreement based on the per share consideration minus Black-Scholes Warrant Value (as defined in the Amended Warrant Agreement) of the Public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currently listed on the NYSE under the symbol “TE 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including the common stock issuable upon exercise of the Private Warrants, are not redeemable by T1 Energy and will be exercisable on a cashless basis so long as they are held by the Sponsor or its permitted transferees. Otherwise, the Private Warrants have terms and provisions that are identical to those of the Public Warrants. If the Private Warrants are held by holders other than the Sponsor or their permitted transferees, the Private Warrants will be redeemable by T1 Energy and exercisable by the holders on the same basis as 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(as defined in the Amended Warrant Agreement), multiplied by the excess of the “fair market value” (as defined in the Amended Warrant Agreement) over the exercise price of the Warrants by (y) the fair market value. The “fair market value” shall mean the average reported last sale price of the common stock for the 10 trading days ending on the third trading day prior to the date on which the notice of warrant exercise is sent to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Penny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warrant agreement, dated September 10, 2025 (the “Penny Warrant Agreement”), between T1 Energy and Stellar Hann Investment Ltd., we issued a Penny Warrant to purchase 7,000,000 shares of common stock, having an exercise price of $0.01 per share, subject to adjustment as provided therein, to Stellar Hann Investment Ltd. The Penny Warrant to purchase up to an aggregate of 7,000,000 shares of our common stock fully vests and becomes exercisable, in whole or in part, on March 10, 2026, and will expire on September 10, 2030. No fraction of a share of common stock will be issued upon any exercise of the Penny Warrant. In lieu of paying the exercise price, the holder may surrender a number of shares of common stock having a fair market value equal to the aggregate exercise price.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is subject to adjustment as provided under the Penny Warrant Agreement. In the event T1 Energy subdivides or reclassifies its outstanding shares of common stock into a greater number of shares of common stock or declares and pays a distribution on the shares of common stock payable in additional shares of common stock, the exercise price, as then in effect, shall be proportionately reduced, and T1 Energy shall proportionately increase the number of shares of common stock then issuable upon exercise under the Penny Warrant (and not previously exercised). If, prior to the expiration of the Penny Warrant, T1 Energy consolidates or reclassifies its outstanding shares of common stock into a lesser number of shares of common stock, the exercise price, as then in effect, shall be proportionately increased, and T1 Energy shall proportionately reduce the number of shares of common stock then issuable upon exercise under the Penny Warrant (and not previously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Penny Warrant Agreement, no holder of the Penny Warrant shall have or exercise any rights held by holders of common stock solely by virtue thereof as a holder of the Penny Warrant, including the right to vote and to receive dividends and other distributions as a holder of common stock prior to the issuance to the holder of the Penny Warrant of the shares of common stock which such holder is then entitled to receive upon the due exercise of the Penny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 Agreement does not permit any transfer of the Penny Warrant and may not be amended to permit such transfer without our consent. The Penny Warrant Agreement includes customary registration rights requiring us to file and keep effective a resale registration statement registering the resale of the Penny Warrant and shares of common stock underlying the Penny Warrant. Other customary representations and warranties and terms were included in the Penny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9"/>
      <w:bookmarkEnd w:id="23"/>
      <w:r>
        <w:rPr>
          <w:rFonts w:ascii="Times New Roman;Times;Serif" w:hAnsi="Times New Roman;Times;Serif"/>
          <w:b/>
          <w:i w:val="false"/>
          <w:caps w:val="false"/>
          <w:smallCaps w:val="false"/>
          <w:sz w:val="20"/>
        </w:rPr>
        <w:t>DESCRIPTION OF NEW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shares of our common stock, shares of our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prospectus supplement relating to a particular issue of warrants will describe the terms of those warrants, which may include, when applicable:</w:t>
      </w:r>
    </w:p>
    <w:p>
      <w:pPr>
        <w:pStyle w:val="TextBody"/>
        <w:bidi w:val="0"/>
        <w:spacing w:before="0" w:after="0"/>
        <w:ind w:left="0" w:right="0" w:firstLine="72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left"/>
              <w:rPr/>
            </w:pPr>
            <w:r>
              <w:rPr/>
              <w:t>the offering price;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currency or currencies, including composite currencies, in which the purchase price and/or exercise price of the warrants may be payable;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37"/>
        <w:gridCol w:w="9548"/>
      </w:tblGrid>
      <w:tr>
        <w:trPr/>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w:t>
            </w:r>
          </w:p>
        </w:tc>
        <w:tc>
          <w:tcPr>
            <w:tcW w:w="9548" w:type="dxa"/>
            <w:tcBorders/>
            <w:vAlign w:val="center"/>
          </w:tcPr>
          <w:p>
            <w:pPr>
              <w:pStyle w:val="TableContents"/>
              <w:bidi w:val="0"/>
              <w:spacing w:before="0" w:after="283"/>
              <w:jc w:val="left"/>
              <w:rPr/>
            </w:pPr>
            <w:r>
              <w:rPr/>
              <w:t>the number of warrants offered;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28"/>
        <w:gridCol w:w="9926"/>
      </w:tblGrid>
      <w:tr>
        <w:trPr/>
        <w:tc>
          <w:tcPr>
            <w:tcW w:w="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left"/>
              <w:rPr/>
            </w:pPr>
            <w:r>
              <w:rPr/>
              <w:t>the exercise price and the amount of securities you will receive upon exercise;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procedure for exercise of the warrants and the circumstances, if any, that will cause the warrants to be automatically exercised;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0"/>
        <w:gridCol w:w="9777"/>
      </w:tblGrid>
      <w:tr>
        <w:trPr/>
        <w:tc>
          <w:tcPr>
            <w:tcW w:w="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w:t>
            </w:r>
          </w:p>
        </w:tc>
        <w:tc>
          <w:tcPr>
            <w:tcW w:w="9777" w:type="dxa"/>
            <w:tcBorders/>
            <w:vAlign w:val="center"/>
          </w:tcPr>
          <w:p>
            <w:pPr>
              <w:pStyle w:val="TableContents"/>
              <w:bidi w:val="0"/>
              <w:spacing w:before="0" w:after="283"/>
              <w:jc w:val="left"/>
              <w:rPr/>
            </w:pPr>
            <w:r>
              <w:rPr/>
              <w:t>the rights, if any, we have to redeem the warrants;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date on which the right to exercise the warrants will commence and the date on which the warrants will expire;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94"/>
        <w:gridCol w:w="9601"/>
      </w:tblGrid>
      <w:tr>
        <w:trPr/>
        <w:tc>
          <w:tcPr>
            <w:tcW w:w="1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w:t>
            </w:r>
          </w:p>
        </w:tc>
        <w:tc>
          <w:tcPr>
            <w:tcW w:w="9601" w:type="dxa"/>
            <w:tcBorders/>
            <w:vAlign w:val="center"/>
          </w:tcPr>
          <w:p>
            <w:pPr>
              <w:pStyle w:val="TableContents"/>
              <w:bidi w:val="0"/>
              <w:spacing w:before="0" w:after="283"/>
              <w:jc w:val="left"/>
              <w:rPr/>
            </w:pPr>
            <w:r>
              <w:rPr/>
              <w:t>the name of the warrant agent;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430"/>
        <w:gridCol w:w="9680"/>
      </w:tblGrid>
      <w:tr>
        <w:trPr/>
        <w:tc>
          <w:tcPr>
            <w:tcW w:w="9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pPr>
            <w:r>
              <w:rPr/>
              <w:t>any other material terms of the warrants.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warrants expire they will become void. The accompanying prospectus supplement may provide for the adjustment of the exercise price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and “Incorporation of Certain Documents by Reference.” We urge you to read the applicable warrant agreement and any accompanying prospectus supplement in their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0"/>
      <w:bookmarkEnd w:id="24"/>
      <w:r>
        <w:rPr>
          <w:rFonts w:ascii="Times New Roman;Times;Serif" w:hAnsi="Times New Roman;Times;Serif"/>
          <w:b/>
          <w:i w:val="false"/>
          <w:caps w:val="false"/>
          <w:smallCaps w:val="false"/>
          <w:sz w:val="20"/>
        </w:rPr>
        <w:t>DESCRIPTION OF SUBSCRIPTION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shares of our common stock, shares of our preferred stock or our debt securities. We may issue subscription rights independently or together with any other offered security, which may or may not be transferable by the securityholder.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subscription rights we may offer will contain the specific terms of the subscription rights. These terms may include the following:</w:t>
      </w:r>
    </w:p>
    <w:p>
      <w:pPr>
        <w:pStyle w:val="TextBody"/>
        <w:bidi w:val="0"/>
        <w:spacing w:before="0" w:after="0"/>
        <w:ind w:left="0" w:right="0" w:firstLine="72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17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both"/>
              <w:rPr/>
            </w:pPr>
            <w:r>
              <w:rPr/>
              <w:t>the price, if any, for the subscription rights;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number and terms of each share of common stock or preferred stock or debt securities which may be purchased per each subscription right;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exercise price payable for each share of common stock or preferred stock or debt securities upon the exercise of the subscription rights;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3"/>
        <w:gridCol w:w="9835"/>
      </w:tblGrid>
      <w:tr>
        <w:trPr/>
        <w:tc>
          <w:tcPr>
            <w:tcW w:w="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both"/>
              <w:rPr/>
            </w:pPr>
            <w:r>
              <w:rPr/>
              <w:t>the extent to which the subscription rights are transferable;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provisions for adjustment of the number or amount of securities receivable upon exercise of the subscription rights or the exercise price of the subscription rights;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other terms of the subscription rights, including the terms, procedures and limitations relating to the exchange and exercise of the subscription rights;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the right to exercise the subscription rights shall commence, and the date on which the subscription rights shall expire;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extent to which the subscription rights may include an over-subscription privilege with respect to unsubscribed securities;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the material terms of any standby underwriting or purchase arrangement entered into by us in connection with the offering of subscription rights.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and “Incorporation of Certain Documents by Reference.” We urge you to read the applicable subscription rights certificate, the applicable subscription rights agreement and any accompanying prospectus supplement in their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1"/>
      <w:bookmarkEnd w:id="25"/>
      <w:r>
        <w:rPr>
          <w:rFonts w:ascii="Times New Roman;Times;Serif" w:hAnsi="Times New Roman;Times;Serif"/>
          <w:b/>
          <w:i w:val="false"/>
          <w:caps w:val="false"/>
          <w:smallCaps w:val="false"/>
          <w:sz w:val="20"/>
        </w:rPr>
        <w:t>DESCRIPTION OF PURCHASE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purchase units comprised of two or more of the securities described in this prospectus, in any combination. Each purchase unit will be issued so that the holder of the purchase unit is also the holder of each security included in the purchase unit. Thus, the holder of a purchase unit will have the rights and obligations of a holder of each included security. The purchase units or the purchase unit or other agreement, if any, under which a purchase unit is issued may provide that the securities included in the purchase unit may not be held or transferred separately at any time, or at any time before a specified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 particular issue of purchase units will describe, among other things: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securities comprising the purchase units, including whether and under what circumstances those securities may be held or transferred separately;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material provisions related to the issuance, payment, settlement, transfer or exchange of the purchase units or of the securities comprising the purchase units;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pPr>
            <w:r>
              <w:rPr/>
              <w:t>any other material provisions of the purchase units or governing unit or other agreement, if 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2"/>
      <w:bookmarkEnd w:id="26"/>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securityholders are persons or entities that, directly or indirectly, have acquired or will from time to time acquire from us, our securities in various private transactions. Such selling securityholders may be parties to a registration rights agreement with us, or we otherwise may have agreed or will agree to register their securities for resale. The initial purchasers of our securities, as well as their transferees, pledgees, donees or successors, all of whom we refer to as “selling securityholders,” may from time to time offer and sell the securities pursuant to this prospectus and any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set forth the name of each selling securityholder and the number of and type of securities beneficially owned by such selling securityholder that are covered by such prospectus supplement. The applicable prospectus supplement also will disclose whether any of the selling securityholders have held any position or office with, have been employed by or otherwise have had a material relationship with us during the three years prior to the date of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3"/>
      <w:bookmarkEnd w:id="2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securityholders may sell the securities being offered hereby in one or more of the following ways from time to time: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8"/>
        <w:gridCol w:w="9670"/>
      </w:tblGrid>
      <w:tr>
        <w:trPr/>
        <w:tc>
          <w:tcPr>
            <w:tcW w:w="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pPr>
            <w:r>
              <w:rPr/>
              <w:t>●</w:t>
            </w:r>
          </w:p>
        </w:tc>
        <w:tc>
          <w:tcPr>
            <w:tcW w:w="9670" w:type="dxa"/>
            <w:tcBorders/>
            <w:vAlign w:val="center"/>
          </w:tcPr>
          <w:p>
            <w:pPr>
              <w:pStyle w:val="TableContents"/>
              <w:bidi w:val="0"/>
              <w:spacing w:before="0" w:after="283"/>
              <w:jc w:val="left"/>
              <w:rPr/>
            </w:pPr>
            <w:r>
              <w:rPr/>
              <w:t>to underwriters for resale to purchasers;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750"/>
        <w:gridCol w:w="9288"/>
      </w:tblGrid>
      <w:tr>
        <w:trPr/>
        <w:tc>
          <w:tcPr>
            <w:tcW w:w="16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pPr>
            <w:r>
              <w:rPr/>
              <w:t>●</w:t>
            </w:r>
          </w:p>
        </w:tc>
        <w:tc>
          <w:tcPr>
            <w:tcW w:w="9288" w:type="dxa"/>
            <w:tcBorders/>
            <w:vAlign w:val="center"/>
          </w:tcPr>
          <w:p>
            <w:pPr>
              <w:pStyle w:val="TableContents"/>
              <w:bidi w:val="0"/>
              <w:spacing w:before="0" w:after="283"/>
              <w:jc w:val="left"/>
              <w:rPr/>
            </w:pPr>
            <w:r>
              <w:rPr/>
              <w:t>directly to purchasers;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6"/>
        <w:gridCol w:w="9672"/>
      </w:tblGrid>
      <w:tr>
        <w:trPr/>
        <w:tc>
          <w:tcPr>
            <w:tcW w:w="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left"/>
              <w:rPr/>
            </w:pPr>
            <w:r>
              <w:rPr/>
              <w:t>through agents or dealers to purchasers;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7"/>
        <w:gridCol w:w="9781"/>
      </w:tblGrid>
      <w:tr>
        <w:trPr/>
        <w:tc>
          <w:tcPr>
            <w:tcW w:w="7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w:t>
            </w:r>
          </w:p>
        </w:tc>
        <w:tc>
          <w:tcPr>
            <w:tcW w:w="9781" w:type="dxa"/>
            <w:tcBorders/>
            <w:vAlign w:val="center"/>
          </w:tcPr>
          <w:p>
            <w:pPr>
              <w:pStyle w:val="TableContents"/>
              <w:bidi w:val="0"/>
              <w:spacing w:before="0" w:after="283"/>
              <w:jc w:val="left"/>
              <w:rPr/>
            </w:pPr>
            <w:r>
              <w:rPr/>
              <w:t>through a combination of any of these methods; or</w:t>
            </w:r>
          </w:p>
        </w:tc>
      </w:tr>
    </w:tbl>
    <w:p>
      <w:pPr>
        <w:pStyle w:val="TextBody"/>
        <w:bidi w:val="0"/>
        <w:spacing w:before="0" w:after="0"/>
        <w:ind w:left="0" w:right="0" w:firstLine="72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5"/>
        <w:gridCol w:w="170"/>
        <w:gridCol w:w="8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through any other methods described in the applicable prospectus supplement or free writing prospectus.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or the selling securityholders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the selling securityholders or others to settle such sales and may use securities received from us to close out any related short positions. We or the selling securityholders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securityholders will identify the specific plan of distribution, including any underwriters, dealers, agents or direct purchasers and their compensation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4"/>
      <w:bookmarkEnd w:id="2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any accompanying prospectus supplement, the validity of the securities that may be issued or resold under this prospectus will be passed upon for T1 Energy by Skadden, Arps, Slate, Meagher &amp; Flom LLP, Houston, Texas. Skadden, Arps, Slate, Meagher &amp; Flom LLP may also provide opinions regarding certain other matters. Any underwriters will be advised about legal matters by their own counsel, which will be named in an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5"/>
      <w:bookmarkEnd w:id="29"/>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2024 have been so incorporated in reliance on the report of PricewaterhouseCoopers AS, an independent registered public accounting firm, given on the authority of said firm as experts in auditing and accounting. PricewaterhouseCoopers AS is a member of Den norske Revisorforening.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Current Report on Form 8-K/A filed with the SEC on March 10, 2025 have been so incorporated in reliance on the report of RSM China CPA LLP,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6"/>
      <w:bookmarkEnd w:id="30"/>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our securities offered by this prospectus. The registration statement, including the attached exhibits and schedules, contains additional relevant information about us and our securities. The rules and regulations of the SEC allow us to omit from this prospectus certain information included in the registration statement. For further information about us and the securities,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reporting requirements of the Exchange Act, and its rules and regulations. The Exchange Act requires us to file reports and other information with the SEC. The SEC maintains a website that contains reports and other information regarding issuers that file electronically with the SEC. These materials may be obtained electronically by accessing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available, free of charge on our website, our Annual Reports on Form 10-K, Quarterly Reports on Form 10-Q, Current Reports on Form 8-K and amendments to these reports filed or furnished pursuant to Section 13(a), 14 or 15(d) of the Exchange Act, as soon as reasonably practicable after we electronically file these documents with, or furnish them to, the SEC. These documents are also posted on our website at </w:t>
      </w:r>
      <w:r>
        <w:rPr>
          <w:rFonts w:ascii="Times New Roman;Times;Serif" w:hAnsi="Times New Roman;Times;Serif"/>
          <w:b w:val="false"/>
          <w:i/>
          <w:caps w:val="false"/>
          <w:smallCaps w:val="false"/>
          <w:sz w:val="20"/>
        </w:rPr>
        <w:t>https://t1energy.com/</w:t>
      </w:r>
      <w:r>
        <w:rPr>
          <w:rFonts w:ascii="Times New Roman;Times;Serif" w:hAnsi="Times New Roman;Times;Serif"/>
          <w:b w:val="false"/>
          <w:i w:val="false"/>
          <w:caps w:val="false"/>
          <w:smallCaps w:val="false"/>
          <w:sz w:val="20"/>
        </w:rPr>
        <w:t>. Any references in this prospectus to our website are inactive textual references only, and the information contained on or that can be accessed through our website (except for the SEC filings expressly incorporated by reference herein) is not incorporated in, and is not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7"/>
      <w:bookmarkEnd w:id="31"/>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information we file with the SEC in other documents. This means that we can disclose important information to you by referring to another document we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 (other than any document or portion of any document furnished or deemed furnished and not filed in accordance with SEC rules, including Items 2.02 and 7.01 of Form 8-K and Item 9.01 related thereto):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Annual Report on </w:t>
            </w:r>
            <w:hyperlink r:id="rId24">
              <w:r>
                <w:rPr>
                  <w:rStyle w:val="InternetLink"/>
                </w:rPr>
                <w:t>Form 10-K</w:t>
              </w:r>
            </w:hyperlink>
            <w:r>
              <w:rPr/>
              <w:t xml:space="preserve"> and </w:t>
            </w:r>
            <w:hyperlink r:id="rId25">
              <w:r>
                <w:rPr>
                  <w:rStyle w:val="InternetLink"/>
                </w:rPr>
                <w:t>Form 10-K/A</w:t>
              </w:r>
            </w:hyperlink>
            <w:r>
              <w:rPr/>
              <w:t xml:space="preserve"> for the fiscal year ended December 31, 2024, filed with the SEC on March 31, 2025 and April 30, 2025, respectively;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Quarterly Reports on Form 10-Q and Form 10-Q/A for the quarterly period ended March 31, 2025, filed with the SEC on </w:t>
            </w:r>
            <w:hyperlink r:id="rId26">
              <w:r>
                <w:rPr>
                  <w:rStyle w:val="InternetLink"/>
                </w:rPr>
                <w:t>May 15, 2025</w:t>
              </w:r>
            </w:hyperlink>
            <w:r>
              <w:rPr/>
              <w:t> and </w:t>
            </w:r>
            <w:hyperlink r:id="rId27">
              <w:r>
                <w:rPr>
                  <w:rStyle w:val="InternetLink"/>
                </w:rPr>
                <w:t>August 18, 2025</w:t>
              </w:r>
            </w:hyperlink>
            <w:r>
              <w:rPr/>
              <w:t>, respectively, for the quarterly period ended June 30, 2025, filed with the SEC on </w:t>
            </w:r>
            <w:hyperlink r:id="rId28">
              <w:r>
                <w:rPr>
                  <w:rStyle w:val="InternetLink"/>
                </w:rPr>
                <w:t>August 19, 2025</w:t>
              </w:r>
            </w:hyperlink>
            <w:r>
              <w:rPr/>
              <w:t xml:space="preserve">, and for the quarterly period ended September 30, 2025, filed with the SEC on </w:t>
            </w:r>
            <w:hyperlink r:id="rId29">
              <w:r>
                <w:rPr>
                  <w:rStyle w:val="InternetLink"/>
                </w:rPr>
                <w:t>November 14, 2025</w:t>
              </w:r>
            </w:hyperlink>
            <w:r>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Current Reports on Form 8-K and Form 8-K/A, as applicable, filed with the SEC on </w:t>
            </w:r>
            <w:hyperlink r:id="rId30">
              <w:r>
                <w:rPr>
                  <w:rStyle w:val="InternetLink"/>
                </w:rPr>
                <w:t>February 10, 2025</w:t>
              </w:r>
            </w:hyperlink>
            <w:r>
              <w:rPr/>
              <w:t xml:space="preserve">, </w:t>
            </w:r>
            <w:hyperlink r:id="rId31">
              <w:r>
                <w:rPr>
                  <w:rStyle w:val="InternetLink"/>
                </w:rPr>
                <w:t>February 14, 2025</w:t>
              </w:r>
            </w:hyperlink>
            <w:r>
              <w:rPr/>
              <w:t xml:space="preserve">, </w:t>
            </w:r>
            <w:hyperlink r:id="rId32">
              <w:r>
                <w:rPr>
                  <w:rStyle w:val="InternetLink"/>
                </w:rPr>
                <w:t>February 19, 2025</w:t>
              </w:r>
            </w:hyperlink>
            <w:r>
              <w:rPr/>
              <w:t xml:space="preserve">, </w:t>
            </w:r>
            <w:hyperlink r:id="rId33">
              <w:r>
                <w:rPr>
                  <w:rStyle w:val="InternetLink"/>
                </w:rPr>
                <w:t>March 4, 2025</w:t>
              </w:r>
            </w:hyperlink>
            <w:r>
              <w:rPr/>
              <w:t xml:space="preserve">, </w:t>
            </w:r>
            <w:hyperlink r:id="rId34">
              <w:r>
                <w:rPr>
                  <w:rStyle w:val="InternetLink"/>
                </w:rPr>
                <w:t>March 10, 2025</w:t>
              </w:r>
            </w:hyperlink>
            <w:r>
              <w:rPr/>
              <w:t xml:space="preserve">, </w:t>
            </w:r>
            <w:hyperlink r:id="rId35">
              <w:r>
                <w:rPr>
                  <w:rStyle w:val="InternetLink"/>
                </w:rPr>
                <w:t>March 14, 2025</w:t>
              </w:r>
            </w:hyperlink>
            <w:r>
              <w:rPr/>
              <w:t xml:space="preserve">, </w:t>
            </w:r>
            <w:hyperlink r:id="rId36">
              <w:r>
                <w:rPr>
                  <w:rStyle w:val="InternetLink"/>
                </w:rPr>
                <w:t>April 9, 2025</w:t>
              </w:r>
            </w:hyperlink>
            <w:r>
              <w:rPr/>
              <w:t xml:space="preserve"> (with respect to Item 8.01 only), </w:t>
            </w:r>
            <w:hyperlink r:id="rId37">
              <w:r>
                <w:rPr>
                  <w:rStyle w:val="InternetLink"/>
                </w:rPr>
                <w:t>April 28, 2025</w:t>
              </w:r>
            </w:hyperlink>
            <w:r>
              <w:rPr/>
              <w:t xml:space="preserve">, </w:t>
            </w:r>
            <w:hyperlink r:id="rId38">
              <w:r>
                <w:rPr>
                  <w:rStyle w:val="InternetLink"/>
                </w:rPr>
                <w:t>May 1, 2025</w:t>
              </w:r>
            </w:hyperlink>
            <w:r>
              <w:rPr/>
              <w:t xml:space="preserve">, </w:t>
            </w:r>
            <w:hyperlink r:id="rId39">
              <w:r>
                <w:rPr>
                  <w:rStyle w:val="InternetLink"/>
                </w:rPr>
                <w:t>May 15, 2025</w:t>
              </w:r>
            </w:hyperlink>
            <w:r>
              <w:rPr/>
              <w:t xml:space="preserve">, </w:t>
            </w:r>
            <w:hyperlink r:id="rId40">
              <w:r>
                <w:rPr>
                  <w:rStyle w:val="InternetLink"/>
                </w:rPr>
                <w:t>June 26, 2025</w:t>
              </w:r>
            </w:hyperlink>
            <w:r>
              <w:rPr/>
              <w:t xml:space="preserve">, </w:t>
            </w:r>
            <w:hyperlink r:id="rId41">
              <w:r>
                <w:rPr>
                  <w:rStyle w:val="InternetLink"/>
                </w:rPr>
                <w:t>July 3, 2025</w:t>
              </w:r>
            </w:hyperlink>
            <w:r>
              <w:rPr/>
              <w:t xml:space="preserve">, </w:t>
            </w:r>
            <w:hyperlink r:id="rId42">
              <w:r>
                <w:rPr>
                  <w:rStyle w:val="InternetLink"/>
                </w:rPr>
                <w:t>August 5, 2025</w:t>
              </w:r>
            </w:hyperlink>
            <w:r>
              <w:rPr/>
              <w:t xml:space="preserve">, </w:t>
            </w:r>
            <w:hyperlink r:id="rId43">
              <w:r>
                <w:rPr>
                  <w:rStyle w:val="InternetLink"/>
                </w:rPr>
                <w:t>August 14, 2025</w:t>
              </w:r>
            </w:hyperlink>
            <w:r>
              <w:rPr/>
              <w:t xml:space="preserve">, </w:t>
            </w:r>
            <w:hyperlink r:id="rId44">
              <w:r>
                <w:rPr>
                  <w:rStyle w:val="InternetLink"/>
                </w:rPr>
                <w:t>August 15, 2025</w:t>
              </w:r>
            </w:hyperlink>
            <w:r>
              <w:rPr/>
              <w:t xml:space="preserve">, </w:t>
            </w:r>
            <w:hyperlink r:id="rId45">
              <w:r>
                <w:rPr>
                  <w:rStyle w:val="InternetLink"/>
                </w:rPr>
                <w:t>August 18, 2025</w:t>
              </w:r>
            </w:hyperlink>
            <w:r>
              <w:rPr/>
              <w:t xml:space="preserve">, </w:t>
            </w:r>
            <w:hyperlink r:id="rId46">
              <w:r>
                <w:rPr>
                  <w:rStyle w:val="InternetLink"/>
                </w:rPr>
                <w:t>August 20, 2025</w:t>
              </w:r>
            </w:hyperlink>
            <w:r>
              <w:rPr/>
              <w:t xml:space="preserve"> (with respect to Item 5.02 only), </w:t>
            </w:r>
            <w:hyperlink r:id="rId47">
              <w:r>
                <w:rPr>
                  <w:rStyle w:val="InternetLink"/>
                </w:rPr>
                <w:t>September 4, 2025</w:t>
              </w:r>
            </w:hyperlink>
            <w:r>
              <w:rPr/>
              <w:t xml:space="preserve">, </w:t>
            </w:r>
            <w:hyperlink r:id="rId48">
              <w:r>
                <w:rPr>
                  <w:rStyle w:val="InternetLink"/>
                </w:rPr>
                <w:t>September 5, 2025</w:t>
              </w:r>
            </w:hyperlink>
            <w:r>
              <w:rPr/>
              <w:t xml:space="preserve">, </w:t>
            </w:r>
            <w:hyperlink r:id="rId49">
              <w:r>
                <w:rPr>
                  <w:rStyle w:val="InternetLink"/>
                </w:rPr>
                <w:t>September 11, 2025</w:t>
              </w:r>
            </w:hyperlink>
            <w:r>
              <w:rPr/>
              <w:t xml:space="preserve">, </w:t>
            </w:r>
            <w:hyperlink r:id="rId50">
              <w:r>
                <w:rPr>
                  <w:rStyle w:val="InternetLink"/>
                </w:rPr>
                <w:t>October 22, 2025</w:t>
              </w:r>
            </w:hyperlink>
            <w:r>
              <w:rPr/>
              <w:t xml:space="preserve"> (with respect to Item 8.01 only), </w:t>
            </w:r>
            <w:hyperlink r:id="rId51">
              <w:r>
                <w:rPr>
                  <w:rStyle w:val="InternetLink"/>
                </w:rPr>
                <w:t>October 23, 2025</w:t>
              </w:r>
            </w:hyperlink>
            <w:r>
              <w:rPr/>
              <w:t xml:space="preserve">, </w:t>
            </w:r>
            <w:hyperlink r:id="rId52">
              <w:r>
                <w:rPr>
                  <w:rStyle w:val="InternetLink"/>
                </w:rPr>
                <w:t>October 24, 2025</w:t>
              </w:r>
            </w:hyperlink>
            <w:r>
              <w:rPr/>
              <w:t xml:space="preserve"> (with respect to Item 8.01 only), </w:t>
            </w:r>
            <w:hyperlink r:id="rId53">
              <w:r>
                <w:rPr>
                  <w:rStyle w:val="InternetLink"/>
                </w:rPr>
                <w:t>October 31, 2025</w:t>
              </w:r>
            </w:hyperlink>
            <w:r>
              <w:rPr/>
              <w:t xml:space="preserve">, </w:t>
            </w:r>
            <w:hyperlink r:id="rId54">
              <w:r>
                <w:rPr>
                  <w:rStyle w:val="InternetLink"/>
                </w:rPr>
                <w:t>December 5, 2025</w:t>
              </w:r>
            </w:hyperlink>
            <w:r>
              <w:rPr/>
              <w:t xml:space="preserve">, </w:t>
            </w:r>
            <w:hyperlink r:id="rId55">
              <w:r>
                <w:rPr>
                  <w:rStyle w:val="InternetLink"/>
                </w:rPr>
                <w:t>December 15, 2025</w:t>
              </w:r>
            </w:hyperlink>
            <w:r>
              <w:rPr/>
              <w:t xml:space="preserve">, </w:t>
            </w:r>
            <w:hyperlink r:id="rId56">
              <w:r>
                <w:rPr>
                  <w:rStyle w:val="InternetLink"/>
                </w:rPr>
                <w:t>December 16, 2025</w:t>
              </w:r>
            </w:hyperlink>
            <w:r>
              <w:rPr/>
              <w:t xml:space="preserve"> and </w:t>
            </w:r>
            <w:hyperlink r:id="rId57">
              <w:r>
                <w:rPr>
                  <w:rStyle w:val="InternetLink"/>
                </w:rPr>
                <w:t>December 30, 2025</w:t>
              </w:r>
            </w:hyperlink>
            <w:r>
              <w:rPr/>
              <w: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The description of the Company’s common stock set forth in our Current Report on </w:t>
            </w:r>
            <w:hyperlink r:id="rId58">
              <w:r>
                <w:rPr>
                  <w:rStyle w:val="InternetLink"/>
                </w:rPr>
                <w:t>Form 8-K12B</w:t>
              </w:r>
            </w:hyperlink>
            <w:r>
              <w:rPr/>
              <w:t xml:space="preserve">, filed with the SEC on January 2, 2024, as updated by the description of the Company’s common stock contained in </w:t>
            </w:r>
            <w:hyperlink r:id="rId59">
              <w:r>
                <w:rPr>
                  <w:rStyle w:val="InternetLink"/>
                </w:rPr>
                <w:t>Exhibit 4.5</w:t>
              </w:r>
            </w:hyperlink>
            <w:r>
              <w:rPr/>
              <w:t xml:space="preserve"> to our Annual Report on </w:t>
            </w:r>
            <w:hyperlink r:id="rId60">
              <w:r>
                <w:rPr>
                  <w:rStyle w:val="InternetLink"/>
                </w:rPr>
                <w:t>Form 10-K</w:t>
              </w:r>
            </w:hyperlink>
            <w:r>
              <w:rPr/>
              <w:t xml:space="preserve"> for the fiscal year ended December 31, 2024, filed with the SEC on March 31, 2025, including any amendments or reports filed for the purpose of updating such description.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 and supplement the information provided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relating to us contained in this prospectus should be read together with the information in the documents incorporated by reference. Information that we file subsequent to the date of this prospectus with the SEC will automatically update and supersede the information contained in documents filed earlier with the SEC or contained in this prospectus, including information in previously filed documents or reports that have been incorporated by reference into this prospectus. Any statement so modified or superseded will not be deemed, except as so modified or superseded, to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obtain copies, without charge, of documents incorporated by reference in this prospectus, by requesting them orally or in writing. To receive any such copy, call or write: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 E 4th 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Texas 78702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Jeffery Spittel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409-599-5706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32" w:name="ea030101201ex-fee.htm"/>
      <w:bookmarkStart w:id="33" w:name="ksea030101201exfee"/>
      <w:bookmarkEnd w:id="32"/>
      <w:bookmarkEnd w:id="33"/>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T1 Energy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810" w:type="dxa"/>
        <w:jc w:val="left"/>
        <w:tblInd w:w="0" w:type="dxa"/>
        <w:tblLayout w:type="fixed"/>
        <w:tblCellMar>
          <w:top w:w="0" w:type="dxa"/>
          <w:left w:w="0" w:type="dxa"/>
          <w:bottom w:w="0" w:type="dxa"/>
          <w:right w:w="0" w:type="dxa"/>
        </w:tblCellMar>
      </w:tblPr>
      <w:tblGrid>
        <w:gridCol w:w="1040"/>
        <w:gridCol w:w="60"/>
        <w:gridCol w:w="800"/>
        <w:gridCol w:w="60"/>
        <w:gridCol w:w="905"/>
        <w:gridCol w:w="60"/>
        <w:gridCol w:w="575"/>
        <w:gridCol w:w="60"/>
        <w:gridCol w:w="1100"/>
        <w:gridCol w:w="60"/>
        <w:gridCol w:w="1100"/>
        <w:gridCol w:w="60"/>
        <w:gridCol w:w="240"/>
        <w:gridCol w:w="755"/>
        <w:gridCol w:w="60"/>
        <w:gridCol w:w="140"/>
        <w:gridCol w:w="1400"/>
        <w:gridCol w:w="60"/>
        <w:gridCol w:w="1040"/>
        <w:gridCol w:w="60"/>
        <w:gridCol w:w="162"/>
        <w:gridCol w:w="1013"/>
      </w:tblGrid>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4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810" w:type="dxa"/>
            <w:gridSpan w:val="22"/>
            <w:tcBorders/>
            <w:vAlign w:val="center"/>
          </w:tcPr>
          <w:p>
            <w:pPr>
              <w:pStyle w:val="TableContents"/>
              <w:bidi w:val="0"/>
              <w:spacing w:before="0" w:after="283"/>
              <w:jc w:val="center"/>
              <w:rPr>
                <w:i/>
              </w:rPr>
            </w:pPr>
            <w:r>
              <w:rPr>
                <w:i/>
              </w:rPr>
              <w:t>Newly Registered Securities</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Common Stock, par value $0.01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13,615,979</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4.28</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58,276,390.12</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8,047.97</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Common Stock, par value $0.01</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87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58,276,390.12</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8,047.97</w:t>
            </w:r>
          </w:p>
        </w:tc>
      </w:tr>
      <w:tr>
        <w:trPr/>
        <w:tc>
          <w:tcPr>
            <w:tcW w:w="687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687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87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8,047.97</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53"/>
        <w:gridCol w:w="23"/>
        <w:gridCol w:w="9929"/>
      </w:tblGrid>
      <w:tr>
        <w:trPr/>
        <w:tc>
          <w:tcPr>
            <w:tcW w:w="253"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29" w:type="dxa"/>
            <w:tcBorders/>
            <w:vAlign w:val="center"/>
          </w:tcPr>
          <w:p>
            <w:pPr>
              <w:pStyle w:val="TableContents"/>
              <w:bidi w:val="0"/>
              <w:spacing w:before="0" w:after="283"/>
              <w:jc w:val="both"/>
              <w:rPr/>
            </w:pPr>
            <w:r>
              <w:rPr/>
              <w:t>(a) Pursuant to Rule 416 under the Securities Act of 1933, as amended, this prospectus supplement also covers such additional shares as may hereafter be offered or issued with respect to the shares registered hereby resulting from stock splits, stock dividends, recapitalizations or similar capital adjustments.</w:t>
              <w:br/>
              <w:br/>
              <w:t>(b) Estimated pursuant to Rule 457(a) in accordance with Rule 457(r), solely for the purpose of calculating the registration fee, on the basis of the average of the high and low sales prices for the Common Stock on July 31, 2026, as reported on the New York Stock Exchange, in accordance with Rule 457(c).</w:t>
              <w:br/>
              <w:br/>
              <w:t>(c) Pursuant to Rule 424(g)(2) and General Instruction II.F to Form S-3, this prospectus supplement shall be deemed a final prospectus for purposes of the offering of the securities described herein.</w:t>
            </w:r>
          </w:p>
        </w:tc>
      </w:tr>
    </w:tbl>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both"/>
              <w:rPr/>
            </w:pPr>
            <w:r>
              <w:rPr/>
              <w:t>In accordance with Rules 456(b) and 457(r) under the Securities Act of 1933, as amended, T1 Energy initially deferred payment of all registration fees for the Registration Statement on Form S-3 (Registration No. 333-292857), filed on January 21, 2026. This filing fee exhibit is in connection with a final prospectus supplement dated August 7, 2026, filed by T1 Energy with the SEC pursuant to Rule 424(b) of the Securities Act.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992243/000199224326000007/t1-20251231.htm" TargetMode="External"/><Relationship Id="rId4" Type="http://schemas.openxmlformats.org/officeDocument/2006/relationships/hyperlink" Target="http://www.sec.gov/ix?doc=/Archives/edgar/data/1992243/000121390026049667/ea0288125-10ka1_t1energy.htm" TargetMode="External"/><Relationship Id="rId5" Type="http://schemas.openxmlformats.org/officeDocument/2006/relationships/hyperlink" Target="http://www.sec.gov/ix?doc=/Archives/edgar/data/1992243/000199224326000014/t1-20260331.htm" TargetMode="External"/><Relationship Id="rId6" Type="http://schemas.openxmlformats.org/officeDocument/2006/relationships/hyperlink" Target="http://www.sec.gov/ix?doc=/Archives/edgar/data/1992243/000121390026006322/ea0273074-8k_t1energy.htm" TargetMode="External"/><Relationship Id="rId7" Type="http://schemas.openxmlformats.org/officeDocument/2006/relationships/hyperlink" Target="http://www.sec.gov/ix?doc=/Archives/edgar/data/1992243/000121390026013301/ea0275957-8k_t1energy.htm" TargetMode="External"/><Relationship Id="rId8" Type="http://schemas.openxmlformats.org/officeDocument/2006/relationships/hyperlink" Target="http://www.sec.gov/ix?doc=/Archives/edgar/data/1992243/000121390026017944/ea0277444-8k_t1energy.htm" TargetMode="External"/><Relationship Id="rId9" Type="http://schemas.openxmlformats.org/officeDocument/2006/relationships/hyperlink" Target="http://www.sec.gov/ix?doc=/Archives/edgar/data/1992243/000121390026036817/ea0284268-8k_t1energy.htm" TargetMode="External"/><Relationship Id="rId10" Type="http://schemas.openxmlformats.org/officeDocument/2006/relationships/hyperlink" Target="http://www.sec.gov/ix?doc=/Archives/edgar/data/1992243/000121390026045173/ea0286610-8k_t1energy.htm" TargetMode="External"/><Relationship Id="rId11" Type="http://schemas.openxmlformats.org/officeDocument/2006/relationships/hyperlink" Target="http://www.sec.gov/ix?doc=/Archives/edgar/data/1992243/000121390026048030/ea0287442-8k_t1energy.htm" TargetMode="External"/><Relationship Id="rId12" Type="http://schemas.openxmlformats.org/officeDocument/2006/relationships/hyperlink" Target="http://www.sec.gov/ix?doc=/Archives/edgar/data/1992243/000121390026065997/ea0293886-8k_t1energy.htm" TargetMode="External"/><Relationship Id="rId13" Type="http://schemas.openxmlformats.org/officeDocument/2006/relationships/hyperlink" Target="http://www.sec.gov/ix?doc=/Archives/edgar/data/1992243/000121390026069670/ea0295062-8k_t1energy.htm" TargetMode="External"/><Relationship Id="rId14" Type="http://schemas.openxmlformats.org/officeDocument/2006/relationships/hyperlink" Target="http://www.sec.gov/ix?doc=/Archives/edgar/data/1992243/000121390026072832/ea0295645-8k_t1energy.htm" TargetMode="External"/><Relationship Id="rId15" Type="http://schemas.openxmlformats.org/officeDocument/2006/relationships/hyperlink" Target="https://www.sec.gov/ix?doc=/Archives/edgar/data/1992243/000121390026081970/ea0299400-8k_t1energy.htm" TargetMode="External"/><Relationship Id="rId16" Type="http://schemas.openxmlformats.org/officeDocument/2006/relationships/hyperlink" Target="https://www.sec.gov/ix?doc=/Archives/edgar/data/1992243/000121390026081974/ea0299450-8k_t1energy.htm" TargetMode="External"/><Relationship Id="rId17" Type="http://schemas.openxmlformats.org/officeDocument/2006/relationships/hyperlink" Target="http://www.sec.gov/ix?doc=/Archives/edgar/data/1992243/000121390026083033/ea0299711-8k_t1energy.htm" TargetMode="External"/><Relationship Id="rId18" Type="http://schemas.openxmlformats.org/officeDocument/2006/relationships/hyperlink" Target="http://www.sec.gov/ix?doc=/Archives/edgar/data/1992243/000121390026084067/ea0299867-8k_t1energy.htm" TargetMode="External"/><Relationship Id="rId19" Type="http://schemas.openxmlformats.org/officeDocument/2006/relationships/hyperlink" Target="http://www.sec.gov/ix?doc=/Archives/edgar/data/1992243/000121390026058457/ea0289524-02.htm" TargetMode="External"/><Relationship Id="rId20" Type="http://schemas.openxmlformats.org/officeDocument/2006/relationships/hyperlink" Target="http://www.sec.gov/ix?doc=/Archives/edgar/data/1992243/000199224324000003/freyr-20240102.htm" TargetMode="External"/><Relationship Id="rId21" Type="http://schemas.openxmlformats.org/officeDocument/2006/relationships/hyperlink" Target="http://www.sec.gov/Archives/edgar/data/1992243/000199224326000007/ex48-q42025.htm" TargetMode="External"/><Relationship Id="rId22" Type="http://schemas.openxmlformats.org/officeDocument/2006/relationships/hyperlink" Target="http://www.sec.gov/ix?doc=/Archives/edgar/data/1992243/000199224326000007/t1-20251231.htm" TargetMode="External"/><Relationship Id="rId23" Type="http://schemas.openxmlformats.org/officeDocument/2006/relationships/image" Target="media/image1.jpeg"/><Relationship Id="rId24" Type="http://schemas.openxmlformats.org/officeDocument/2006/relationships/hyperlink" Target="https://www.sec.gov/Archives/edgar/data/1992243/000199224325000010/frey-20241231.htm" TargetMode="External"/><Relationship Id="rId25" Type="http://schemas.openxmlformats.org/officeDocument/2006/relationships/hyperlink" Target="https://www.sec.gov/Archives/edgar/data/1992243/000199224325000015/t1energy-20241231.htm" TargetMode="External"/><Relationship Id="rId26" Type="http://schemas.openxmlformats.org/officeDocument/2006/relationships/hyperlink" Target="https://www.sec.gov/Archives/edgar/data/1992243/000199224325000021/t1-20250331.htm" TargetMode="External"/><Relationship Id="rId27" Type="http://schemas.openxmlformats.org/officeDocument/2006/relationships/hyperlink" Target="https://www.sec.gov/Archives/edgar/data/1992243/000199224325000029/t1-20250331.htm" TargetMode="External"/><Relationship Id="rId28" Type="http://schemas.openxmlformats.org/officeDocument/2006/relationships/hyperlink" Target="https://www.sec.gov/Archives/edgar/data/1992243/000199224325000033/t1-20250630.htm" TargetMode="External"/><Relationship Id="rId29" Type="http://schemas.openxmlformats.org/officeDocument/2006/relationships/hyperlink" Target="https://www.sec.gov/Archives/edgar/data/1992243/000199224325000040/t1-20250930.htm" TargetMode="External"/><Relationship Id="rId30" Type="http://schemas.openxmlformats.org/officeDocument/2006/relationships/hyperlink" Target="https://www.sec.gov/Archives/edgar/data/1992243/000121390025011494/ea023045002-8k_freyrbat.htm" TargetMode="External"/><Relationship Id="rId31" Type="http://schemas.openxmlformats.org/officeDocument/2006/relationships/hyperlink" Target="https://www.sec.gov/Archives/edgar/data/1992243/000121390025014298/ea0231185-8k_freyrbat.htm" TargetMode="External"/><Relationship Id="rId32" Type="http://schemas.openxmlformats.org/officeDocument/2006/relationships/hyperlink" Target="https://www.sec.gov/Archives/edgar/data/1992243/000121390025015030/ea0231365-8k_freyrbat.htm" TargetMode="External"/><Relationship Id="rId33" Type="http://schemas.openxmlformats.org/officeDocument/2006/relationships/hyperlink" Target="https://www.sec.gov/Archives/edgar/data/1992243/000121390025020257/ea0232565-8k_t1energy.htm" TargetMode="External"/><Relationship Id="rId34" Type="http://schemas.openxmlformats.org/officeDocument/2006/relationships/hyperlink" Target="https://www.sec.gov/Archives/edgar/data/1992243/000121390025022205/ea0233228-8ka1_t1energy.htm" TargetMode="External"/><Relationship Id="rId35" Type="http://schemas.openxmlformats.org/officeDocument/2006/relationships/hyperlink" Target="https://www.sec.gov/Archives/edgar/data/1992243/000121390025024191/ea0234359-8k_t1energy.htm" TargetMode="External"/><Relationship Id="rId36" Type="http://schemas.openxmlformats.org/officeDocument/2006/relationships/hyperlink" Target="https://www.sec.gov/Archives/edgar/data/1992243/000121390025030313/ea0237297-8k_t1energy.htm" TargetMode="External"/><Relationship Id="rId37" Type="http://schemas.openxmlformats.org/officeDocument/2006/relationships/hyperlink" Target="https://www.sec.gov/Archives/edgar/data/1992243/000121390025035737/ea0239651-8k_t1energy.htm" TargetMode="External"/><Relationship Id="rId38" Type="http://schemas.openxmlformats.org/officeDocument/2006/relationships/hyperlink" Target="https://www.sec.gov/Archives/edgar/data/1992243/000121390025038479/ea0240465-8k_t1energy.htm" TargetMode="External"/><Relationship Id="rId39" Type="http://schemas.openxmlformats.org/officeDocument/2006/relationships/hyperlink" Target="https://www.sec.gov/Archives/edgar/data/1992243/000121390025043646/ea0242292-8k_t1energy.htm" TargetMode="External"/><Relationship Id="rId40" Type="http://schemas.openxmlformats.org/officeDocument/2006/relationships/hyperlink" Target="https://www.sec.gov/Archives/edgar/data/1992243/000121390025058015/ea0246700-8k_t1energy.htm" TargetMode="External"/><Relationship Id="rId41" Type="http://schemas.openxmlformats.org/officeDocument/2006/relationships/hyperlink" Target="https://www.sec.gov/Archives/edgar/data/1992243/000121390025061508/ea0247616-8k_t1energy.htm" TargetMode="External"/><Relationship Id="rId42" Type="http://schemas.openxmlformats.org/officeDocument/2006/relationships/hyperlink" Target="https://www.sec.gov/Archives/edgar/data/1992243/000121390025072121/ea0251845-8k_t1energy.htm" TargetMode="External"/><Relationship Id="rId43" Type="http://schemas.openxmlformats.org/officeDocument/2006/relationships/hyperlink" Target="https://www.sec.gov/Archives/edgar/data/1992243/000121390025076002/ea0253099-8k_t1energy.htm" TargetMode="External"/><Relationship Id="rId44" Type="http://schemas.openxmlformats.org/officeDocument/2006/relationships/hyperlink" Target="https://www.sec.gov/Archives/edgar/data/1992243/000121390025077036/ea0253426-8k_t1energy.htm" TargetMode="External"/><Relationship Id="rId45" Type="http://schemas.openxmlformats.org/officeDocument/2006/relationships/hyperlink" Target="https://www.sec.gov/Archives/edgar/data/1992243/000121390025077935/ea0253661-8k_t1energy.htm" TargetMode="External"/><Relationship Id="rId46" Type="http://schemas.openxmlformats.org/officeDocument/2006/relationships/hyperlink" Target="https://www.sec.gov/Archives/edgar/data/1992243/000121390025078694/ea0253865-8k_t1energy.htm" TargetMode="External"/><Relationship Id="rId47" Type="http://schemas.openxmlformats.org/officeDocument/2006/relationships/hyperlink" Target="https://www.sec.gov/Archives/edgar/data/1992243/000121390025084519/ea0256001-8k_t1energy.htm" TargetMode="External"/><Relationship Id="rId48" Type="http://schemas.openxmlformats.org/officeDocument/2006/relationships/hyperlink" Target="https://www.sec.gov/Archives/edgar/data/1992243/000121390025085031/ea0256209-8k_t1energy.htm" TargetMode="External"/><Relationship Id="rId49" Type="http://schemas.openxmlformats.org/officeDocument/2006/relationships/hyperlink" Target="https://www.sec.gov/Archives/edgar/data/1992243/000121390025086663/ea0256560-8k_t1energy.htm" TargetMode="External"/><Relationship Id="rId50" Type="http://schemas.openxmlformats.org/officeDocument/2006/relationships/hyperlink" Target="https://www.sec.gov/Archives/edgar/data/1992243/000121390025101017/ea0262096-8k_t1energy.htm" TargetMode="External"/><Relationship Id="rId51" Type="http://schemas.openxmlformats.org/officeDocument/2006/relationships/hyperlink" Target="https://www.sec.gov/Archives/edgar/data/1992243/000121390025101432/ea0262237-8k_t1energy.htm" TargetMode="External"/><Relationship Id="rId52" Type="http://schemas.openxmlformats.org/officeDocument/2006/relationships/hyperlink" Target="https://www.sec.gov/Archives/edgar/data/1992243/000121390025101908/ea0262405-8k_t1energy.htm" TargetMode="External"/><Relationship Id="rId53" Type="http://schemas.openxmlformats.org/officeDocument/2006/relationships/hyperlink" Target="https://www.sec.gov/Archives/edgar/data/1992243/000121390025104500/ea0263018-8k_t1energy.htm" TargetMode="External"/><Relationship Id="rId54" Type="http://schemas.openxmlformats.org/officeDocument/2006/relationships/hyperlink" Target="https://www.sec.gov/Archives/edgar/data/1992243/000121390025118483/ea0268498-8k_t1energy.htm" TargetMode="External"/><Relationship Id="rId55" Type="http://schemas.openxmlformats.org/officeDocument/2006/relationships/hyperlink" Target="https://www.sec.gov/Archives/edgar/data/1992243/000121390025121741/ea0269639-8k_t1energy.htm" TargetMode="External"/><Relationship Id="rId56" Type="http://schemas.openxmlformats.org/officeDocument/2006/relationships/hyperlink" Target="https://www.sec.gov/Archives/edgar/data/1992243/000121390025122336/ea0269834-8k_t1energy.htm" TargetMode="External"/><Relationship Id="rId57" Type="http://schemas.openxmlformats.org/officeDocument/2006/relationships/hyperlink" Target="https://www.sec.gov/Archives/edgar/data/1992243/000121390025126306/ea0271222-8k_t1energy.htm" TargetMode="External"/><Relationship Id="rId58" Type="http://schemas.openxmlformats.org/officeDocument/2006/relationships/hyperlink" Target="https://www.sec.gov/Archives/edgar/data/1992243/000199224324000003/freyr-20240102.htm" TargetMode="External"/><Relationship Id="rId59" Type="http://schemas.openxmlformats.org/officeDocument/2006/relationships/hyperlink" Target="https://www.sec.gov/Archives/edgar/data/1992243/000199224325000010/ex45.htm" TargetMode="External"/><Relationship Id="rId60" Type="http://schemas.openxmlformats.org/officeDocument/2006/relationships/hyperlink" Target="https://www.sec.gov/Archives/edgar/data/1992243/000199224325000010/frey-20241231.htm" TargetMode="External"/><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27102</Words>
  <Characters>144315</Characters>
  <CharactersWithSpaces>171406</CharactersWithSpaces>
  <Paragraphs>1540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